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Fonts w:hint="eastAsia" w:ascii="Times New Roman" w:hAnsi="Times New Roman" w:eastAsia="方正小标宋简体"/>
          <w:color w:val="333333"/>
          <w:sz w:val="44"/>
          <w:szCs w:val="44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333333"/>
          <w:sz w:val="44"/>
          <w:szCs w:val="44"/>
        </w:rPr>
        <w:t>第四临床医学院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  <w:shd w:val="clear" w:color="auto" w:fill="FFFFFF"/>
        </w:rPr>
        <w:t>2021年“申请-考核制”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  <w:shd w:val="clear" w:color="auto" w:fill="FFFFFF"/>
        </w:rPr>
      </w:pP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  <w:shd w:val="clear" w:color="auto" w:fill="FFFFFF"/>
        </w:rPr>
        <w:t>全日制博士招生实施细则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jc w:val="both"/>
        <w:rPr>
          <w:rStyle w:val="8"/>
          <w:rFonts w:ascii="Times New Roman" w:hAnsi="Times New Roman" w:eastAsia="仿宋_GB2312"/>
          <w:color w:val="000000"/>
          <w:sz w:val="28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根据《南京医科大学博士研究生招生“申请-考核”制实施办法》和《南京医科大学2021年“申请-考核”制博士生招生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工作</w:t>
      </w:r>
      <w:r>
        <w:rPr>
          <w:rFonts w:ascii="Times New Roman" w:hAnsi="Times New Roman" w:eastAsia="仿宋"/>
          <w:color w:val="000000"/>
          <w:sz w:val="32"/>
          <w:szCs w:val="32"/>
        </w:rPr>
        <w:t>的通知》相关要求为基础，制定本细则。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一、工作流程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考生对照《南京医科大学博士研究生招生“申请-考核”制实施办法》和《南京医科大学2021年“申请-考核”制博士生招生报考须知》有关要求进行网报及材料提交。详见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南京医科大学招生办官网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。 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二、资格审查细则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考生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于20</w:t>
      </w:r>
      <w:r>
        <w:rPr>
          <w:rFonts w:ascii="Times New Roman" w:hAnsi="Times New Roman" w:eastAsia="仿宋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年12月1</w:t>
      </w:r>
      <w:r>
        <w:rPr>
          <w:rFonts w:ascii="Times New Roman" w:hAnsi="Times New Roman" w:eastAsia="仿宋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日09:00前</w:t>
      </w:r>
      <w:r>
        <w:rPr>
          <w:rFonts w:ascii="Times New Roman" w:hAnsi="Times New Roman" w:eastAsia="仿宋"/>
          <w:color w:val="000000"/>
          <w:sz w:val="32"/>
          <w:szCs w:val="32"/>
        </w:rPr>
        <w:t>提交经导师本人签字同意的《报考登记表》，无导师本人签字不具有资格审查资格。学院根据申请者所提交的材料，成立“资格审查小组”，组员为3-5位副高及以上职称专家，对初审通过的每个申请者材料进行认真评审并评分。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资格审查最终以报考专业为单位评分排名，按1:1.5比例择优确定入围综合考核的申请者名单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  <w:shd w:val="clear" w:color="auto" w:fill="FFFFFF"/>
        </w:rPr>
        <w:t>（一）学术背景（20分）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请提供参与研究的课题（包括课题级别，课题名称，考生在课题中承担的任务）并提供相关证明材料。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  <w:shd w:val="clear" w:color="auto" w:fill="FFFFFF"/>
        </w:rPr>
        <w:t>（二）成绩和外语水平（20分）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硕士阶段成绩，平均绩点大于3.0得10分，2.5~3.0得8分，2.0~2.5得5分。</w:t>
      </w:r>
      <w:r>
        <w:rPr>
          <w:rFonts w:ascii="Times New Roman" w:hAnsi="Times New Roman" w:eastAsia="仿宋"/>
          <w:color w:val="333333"/>
          <w:sz w:val="32"/>
          <w:szCs w:val="32"/>
        </w:rPr>
        <w:t>须加盖所在学校学习成绩管理部门公章，无公章者不得分。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外语成绩，英语6级500分以上得10分，470-499分得8分，450-469分得5分，426-449分得3分，其他英语考试成绩酌情考虑。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  <w:shd w:val="clear" w:color="auto" w:fill="FFFFFF"/>
        </w:rPr>
        <w:t>（三）学术成果（40分）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请考生提供</w:t>
      </w:r>
      <w:r>
        <w:rPr>
          <w:rFonts w:ascii="Times New Roman" w:hAnsi="Times New Roman" w:eastAsia="仿宋"/>
          <w:color w:val="333333"/>
          <w:sz w:val="32"/>
          <w:szCs w:val="32"/>
        </w:rPr>
        <w:t>已取得的科研成果（含专利、公开发表的学术性论文、专著等），获奖证书或其他可以证明考生科研能力和水平的证明材料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，审核小组将根据论文或奖项类型、考生排名、相关内容与本专业相关程度、文章影响因子等综合打分。其中：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SCI（或同等级）文章每篇基础分5分，核心期刊（含统计源）文章每篇基础分2分，普刊（或同等级）每篇基础分1分。所有文章考生排名为第一作者加2分，第二作者（含共一排名第二）加1分。文章相关内容与本专业相关程度是重要评价标准，无相关性此项得分减半，文章影响因子由审核小组综合考察打分。同等积分时，具有SCI文章接收函者优先排序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著作、发明专利、科技等其他学术成果与奖项的，每有一项基础得分3分，国家级加1分。排名主编、唯一（或第一）完成人的加1分。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  <w:shd w:val="clear" w:color="auto" w:fill="FFFFFF"/>
        </w:rPr>
        <w:t>（四）综合素质（20分）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hint="default" w:ascii="Times New Roman" w:hAnsi="Times New Roman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请考生提供社会任职情况和获奖情况证明。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  <w:lang w:eastAsia="zh-CN"/>
        </w:rPr>
        <w:t>获得国家级奖励（自然排名前三）的每项得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  <w:lang w:val="en-US" w:eastAsia="zh-CN"/>
        </w:rPr>
        <w:t>3分，省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  <w:lang w:eastAsia="zh-CN"/>
        </w:rPr>
        <w:t>级奖励（自然排名前二）的每项得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  <w:lang w:val="en-US" w:eastAsia="zh-CN"/>
        </w:rPr>
        <w:t>2分，校级奖励的（自然排名第一）每项得1分。在国家级学术组织（需与报考学科相关）任职得3分，省级学术组织（需与报考学科相关）任职得2分。以上任职与奖励级别的认定与学校相关认定规定一致。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  <w:shd w:val="clear" w:color="auto" w:fill="FFFFFF"/>
        </w:rPr>
        <w:t>（五）结果公布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 xml:space="preserve">    学院拟于20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年12月1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日16:00前公布资格审查结果。请考生注意关注学院网站通知公告专栏。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="640" w:firstLineChars="200"/>
        <w:jc w:val="left"/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</w:rPr>
        <w:t>综合考核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根据各学科特点和培养要求，重点考核考生综合运用所学知识的能力、学科前沿知识及是否具备博士研究生培养的潜能和综合素质，对专业学位的考生注重临床技能操作考核。特别注重考查道德品质、遵纪守法、科学精神、学术道德、专业伦理、诚实守信等方面的情况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综合考核包括综合笔试、综合能力考核和综合答辩。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各附院自行联系考生，在12月18-2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日期间完成综合笔试与综合能力考核，并将结果上报学院。综合答辩拟定为12月2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日上午09:00，由学院统一组织，地点另行通知。学院拟于2020年12月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31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日16:00前公布拟录取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结果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，请考生注意关注学院网站通知公告专栏。</w:t>
      </w:r>
    </w:p>
    <w:p>
      <w:pPr>
        <w:widowControl/>
        <w:shd w:val="clear" w:color="auto" w:fill="FFFFFF"/>
        <w:spacing w:line="400" w:lineRule="exact"/>
        <w:ind w:left="638" w:leftChars="304"/>
        <w:jc w:val="left"/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  <w:t>（一）综合笔试（满分100分）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形式：闭卷，时间3小时。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内容：①专业外语测试（占50%）：主要考核考生阅读和翻译外文文献的水平；②专业课测试（占50%）：根据各二级学科确定考试范围，主要考核考生基础理论、专业知识掌握程度。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各学科具体安排在公布资格审查结果时统一发布，考核由导师所在附院负责完成。</w:t>
      </w:r>
    </w:p>
    <w:p>
      <w:pPr>
        <w:widowControl/>
        <w:shd w:val="clear" w:color="auto" w:fill="FFFFFF"/>
        <w:spacing w:line="400" w:lineRule="exact"/>
        <w:ind w:firstLine="640" w:firstLineChars="200"/>
        <w:jc w:val="left"/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  <w:t>（二）综合能力考核（满分100分）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形式：开放性，时间5天内完成。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内容：①科研思维考核（满分60分）：阅读文献，撰写报考导师指定内容的科研设计；②实践操作能力（满分40分），任选其一考核：①实验/操作技能考核；②临床技能考核。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由导师所在附院提前确定考核方案和具体安排，在公布资格审查结果时统一发布。由报考导师所在附院对考生的综合能力考核进行评分。综合能力考核合格线：60分。综合能力考核不合格者，不予录取。对于思想品德考核不合格者不予录取。</w:t>
      </w:r>
    </w:p>
    <w:p>
      <w:pPr>
        <w:widowControl/>
        <w:shd w:val="clear" w:color="auto" w:fill="FFFFFF"/>
        <w:spacing w:line="400" w:lineRule="exact"/>
        <w:ind w:firstLine="640" w:firstLineChars="200"/>
        <w:jc w:val="left"/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333333"/>
          <w:kern w:val="0"/>
          <w:sz w:val="32"/>
          <w:szCs w:val="32"/>
        </w:rPr>
        <w:t>（三）综合答辩（满分100分）</w:t>
      </w:r>
    </w:p>
    <w:p>
      <w:pPr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形式：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答辩采用面试形式，</w:t>
      </w:r>
      <w:r>
        <w:rPr>
          <w:rFonts w:ascii="Times New Roman" w:hAnsi="Times New Roman" w:eastAsia="仿宋" w:cs="Times New Roman"/>
          <w:sz w:val="32"/>
          <w:szCs w:val="32"/>
        </w:rPr>
        <w:t>学院组织成立综合答辩专家小组对考生逐一考核，每人不少于20分钟。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内容：基于考生材料，考核考生综合运用所学知识的能力、创新能力、科研潜质、外语应用能力等。</w:t>
      </w:r>
    </w:p>
    <w:p>
      <w:pPr>
        <w:widowControl/>
        <w:shd w:val="clear" w:color="auto" w:fill="FFFFFF"/>
        <w:spacing w:line="400" w:lineRule="exact"/>
        <w:ind w:firstLine="640" w:firstLineChars="200"/>
        <w:jc w:val="left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四、成绩核算与录取</w:t>
      </w:r>
    </w:p>
    <w:p>
      <w:pPr>
        <w:widowControl/>
        <w:shd w:val="clear" w:color="auto" w:fill="FFFFFF"/>
        <w:spacing w:line="400" w:lineRule="exact"/>
        <w:ind w:firstLine="640" w:firstLineChars="200"/>
        <w:jc w:val="both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综合考核总成绩=综合笔试成绩×20%+综合能力考核成绩×50%+综合答辩成绩×30%。学院根据考生的综合考核总成绩情况，择优确定拟录取名单，并报研究生院审批。</w:t>
      </w:r>
    </w:p>
    <w:p>
      <w:pPr>
        <w:spacing w:line="400" w:lineRule="exact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spacing w:line="400" w:lineRule="exact"/>
        <w:jc w:val="right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spacing w:line="400" w:lineRule="exact"/>
        <w:jc w:val="right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  <w:t xml:space="preserve">                             </w:t>
      </w:r>
      <w:r>
        <w:rPr>
          <w:rFonts w:ascii="Times New Roman" w:hAnsi="Times New Roman" w:eastAsia="仿宋" w:cs="Times New Roman"/>
          <w:color w:val="333333"/>
          <w:sz w:val="32"/>
          <w:szCs w:val="32"/>
        </w:rPr>
        <w:t>第四临床医学院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  <w:t xml:space="preserve">                             </w:t>
      </w:r>
      <w:r>
        <w:rPr>
          <w:rFonts w:ascii="Times New Roman" w:hAnsi="Times New Roman" w:eastAsia="仿宋" w:cs="Times New Roman"/>
          <w:color w:val="333333"/>
          <w:sz w:val="32"/>
          <w:szCs w:val="32"/>
        </w:rPr>
        <w:t>2020年11月26日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B4E75"/>
    <w:multiLevelType w:val="singleLevel"/>
    <w:tmpl w:val="99DB4E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7040"/>
    <w:rsid w:val="00144998"/>
    <w:rsid w:val="001A186E"/>
    <w:rsid w:val="001E7F1D"/>
    <w:rsid w:val="002347F1"/>
    <w:rsid w:val="00237701"/>
    <w:rsid w:val="00247937"/>
    <w:rsid w:val="002C343F"/>
    <w:rsid w:val="00300F2B"/>
    <w:rsid w:val="00335E60"/>
    <w:rsid w:val="003A497F"/>
    <w:rsid w:val="003B66D3"/>
    <w:rsid w:val="003F60D6"/>
    <w:rsid w:val="00466CFA"/>
    <w:rsid w:val="004B2796"/>
    <w:rsid w:val="005164EF"/>
    <w:rsid w:val="005D0AB7"/>
    <w:rsid w:val="005E4319"/>
    <w:rsid w:val="0062305E"/>
    <w:rsid w:val="006D2155"/>
    <w:rsid w:val="00741F5D"/>
    <w:rsid w:val="007A7ED6"/>
    <w:rsid w:val="0082190E"/>
    <w:rsid w:val="008A056D"/>
    <w:rsid w:val="008C4F61"/>
    <w:rsid w:val="008F7BE4"/>
    <w:rsid w:val="00951DD6"/>
    <w:rsid w:val="00983812"/>
    <w:rsid w:val="009914C2"/>
    <w:rsid w:val="009A7E0C"/>
    <w:rsid w:val="00A210F5"/>
    <w:rsid w:val="00B07558"/>
    <w:rsid w:val="00C42B66"/>
    <w:rsid w:val="00C91809"/>
    <w:rsid w:val="00CC2517"/>
    <w:rsid w:val="00D0102E"/>
    <w:rsid w:val="00D1067B"/>
    <w:rsid w:val="00D77701"/>
    <w:rsid w:val="00DD762B"/>
    <w:rsid w:val="00E003B2"/>
    <w:rsid w:val="00FA4C5D"/>
    <w:rsid w:val="00FD62B3"/>
    <w:rsid w:val="0E383793"/>
    <w:rsid w:val="288D7040"/>
    <w:rsid w:val="2DDA2AAE"/>
    <w:rsid w:val="32446AEA"/>
    <w:rsid w:val="41DE24EE"/>
    <w:rsid w:val="44F05FED"/>
    <w:rsid w:val="4D5728D9"/>
    <w:rsid w:val="66315046"/>
    <w:rsid w:val="6D535020"/>
    <w:rsid w:val="70FB60A7"/>
    <w:rsid w:val="74062212"/>
    <w:rsid w:val="7406605C"/>
    <w:rsid w:val="763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21F3E-F58F-41F8-A84E-55C1834E9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285</Words>
  <Characters>1625</Characters>
  <Lines>13</Lines>
  <Paragraphs>3</Paragraphs>
  <TotalTime>13</TotalTime>
  <ScaleCrop>false</ScaleCrop>
  <LinksUpToDate>false</LinksUpToDate>
  <CharactersWithSpaces>1907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2018-11-20T06:07:00Z</dcterms:created>
  <dc:creator>粽子</dc:creator>
  <cp:lastModifiedBy>粽子</cp:lastModifiedBy>
  <dcterms:modified xsi:type="dcterms:W3CDTF">2020-11-26T02:57:30Z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