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napToGrid w:val="0"/>
        <w:spacing w:line="360" w:lineRule="auto"/>
        <w:jc w:val="center"/>
        <w:outlineLvl w:val="0"/>
        <w:rPr>
          <w:rFonts w:hint="default" w:ascii="微软雅黑" w:hAnsi="微软雅黑" w:eastAsia="微软雅黑" w:cs="宋体"/>
          <w:b/>
          <w:bCs/>
          <w:color w:val="282828"/>
          <w:kern w:val="36"/>
          <w:sz w:val="27"/>
          <w:szCs w:val="27"/>
          <w:lang w:val="en-US" w:eastAsia="zh-CN"/>
        </w:rPr>
      </w:pPr>
      <w:r>
        <w:rPr>
          <w:rFonts w:hint="eastAsia" w:ascii="微软雅黑" w:hAnsi="微软雅黑" w:eastAsia="微软雅黑" w:cs="宋体"/>
          <w:b/>
          <w:bCs/>
          <w:color w:val="282828"/>
          <w:kern w:val="36"/>
          <w:sz w:val="27"/>
          <w:szCs w:val="27"/>
        </w:rPr>
        <w:t>南京医科大学儿科学院</w:t>
      </w:r>
      <w:r>
        <w:rPr>
          <w:rFonts w:hint="eastAsia" w:ascii="微软雅黑" w:hAnsi="微软雅黑" w:eastAsia="微软雅黑" w:cs="宋体"/>
          <w:b/>
          <w:bCs/>
          <w:color w:val="282828"/>
          <w:kern w:val="36"/>
          <w:sz w:val="27"/>
          <w:szCs w:val="27"/>
          <w:lang w:val="en-US" w:eastAsia="zh-CN"/>
        </w:rPr>
        <w:t>2021年</w:t>
      </w:r>
    </w:p>
    <w:p>
      <w:pPr>
        <w:widowControl/>
        <w:shd w:val="clear" w:color="auto" w:fill="FFFFFF"/>
        <w:adjustRightInd w:val="0"/>
        <w:snapToGrid w:val="0"/>
        <w:spacing w:line="360" w:lineRule="auto"/>
        <w:jc w:val="center"/>
        <w:outlineLvl w:val="0"/>
        <w:rPr>
          <w:rFonts w:ascii="微软雅黑" w:hAnsi="微软雅黑" w:eastAsia="微软雅黑" w:cs="宋体"/>
          <w:b/>
          <w:bCs/>
          <w:color w:val="282828"/>
          <w:kern w:val="36"/>
          <w:sz w:val="27"/>
          <w:szCs w:val="27"/>
        </w:rPr>
      </w:pPr>
      <w:r>
        <w:rPr>
          <w:rFonts w:hint="eastAsia" w:ascii="微软雅黑" w:hAnsi="微软雅黑" w:eastAsia="微软雅黑" w:cs="宋体"/>
          <w:b/>
          <w:bCs/>
          <w:color w:val="282828"/>
          <w:kern w:val="36"/>
          <w:sz w:val="27"/>
          <w:szCs w:val="27"/>
        </w:rPr>
        <w:t>博士研究生招生“申请-考核”制实施细则</w:t>
      </w:r>
    </w:p>
    <w:p>
      <w:pPr>
        <w:pStyle w:val="5"/>
        <w:shd w:val="clear" w:color="auto" w:fill="FFFFFF"/>
        <w:adjustRightInd w:val="0"/>
        <w:snapToGrid w:val="0"/>
        <w:spacing w:before="0" w:beforeAutospacing="0" w:after="0" w:afterAutospacing="0" w:line="360" w:lineRule="auto"/>
        <w:ind w:firstLine="555"/>
        <w:rPr>
          <w:rFonts w:hint="eastAsia" w:cs="Tahoma"/>
          <w:color w:val="333333"/>
          <w:sz w:val="27"/>
          <w:szCs w:val="27"/>
        </w:rPr>
      </w:pPr>
    </w:p>
    <w:p>
      <w:pPr>
        <w:pStyle w:val="5"/>
        <w:shd w:val="clear" w:color="auto" w:fill="FFFFFF"/>
        <w:adjustRightInd w:val="0"/>
        <w:snapToGrid w:val="0"/>
        <w:spacing w:before="0" w:beforeAutospacing="0" w:after="0" w:afterAutospacing="0" w:line="360" w:lineRule="auto"/>
        <w:ind w:firstLine="555"/>
        <w:rPr>
          <w:rFonts w:ascii="Tahoma" w:hAnsi="Tahoma" w:cs="Tahoma"/>
          <w:color w:val="333333"/>
          <w:sz w:val="21"/>
          <w:szCs w:val="21"/>
        </w:rPr>
      </w:pPr>
      <w:r>
        <w:rPr>
          <w:rFonts w:hint="eastAsia" w:cs="Tahoma"/>
          <w:color w:val="333333"/>
          <w:sz w:val="27"/>
          <w:szCs w:val="27"/>
        </w:rPr>
        <w:t>根据南医大研2017（20）号《南京医科大学博士研究生招生“申请-考核”制实施办法》文件精神，为优化博士生招生选拔机制，提高博士生培养质量，现制定儿科学院</w:t>
      </w:r>
      <w:r>
        <w:rPr>
          <w:rFonts w:hint="eastAsia" w:cs="Tahoma"/>
          <w:color w:val="333333"/>
          <w:sz w:val="27"/>
          <w:szCs w:val="27"/>
          <w:lang w:val="en-US" w:eastAsia="zh-CN"/>
        </w:rPr>
        <w:t>2021年</w:t>
      </w:r>
      <w:r>
        <w:rPr>
          <w:rFonts w:hint="eastAsia" w:cs="Tahoma"/>
          <w:color w:val="000000"/>
          <w:sz w:val="27"/>
          <w:szCs w:val="27"/>
        </w:rPr>
        <w:t>博士研究生招生</w:t>
      </w:r>
      <w:r>
        <w:rPr>
          <w:rFonts w:hint="eastAsia" w:cs="Tahoma"/>
          <w:color w:val="333333"/>
          <w:sz w:val="27"/>
          <w:szCs w:val="27"/>
        </w:rPr>
        <w:t>“申请-考核”制实施细则。具体如下：</w:t>
      </w:r>
    </w:p>
    <w:p>
      <w:pPr>
        <w:pStyle w:val="5"/>
        <w:shd w:val="clear" w:color="auto" w:fill="FFFFFF"/>
        <w:adjustRightInd w:val="0"/>
        <w:snapToGrid w:val="0"/>
        <w:spacing w:before="0" w:beforeAutospacing="0" w:after="0" w:afterAutospacing="0" w:line="360" w:lineRule="auto"/>
        <w:ind w:firstLine="555"/>
        <w:rPr>
          <w:rFonts w:ascii="Tahoma" w:hAnsi="Tahoma" w:cs="Tahoma"/>
          <w:color w:val="333333"/>
          <w:sz w:val="21"/>
          <w:szCs w:val="21"/>
        </w:rPr>
      </w:pPr>
      <w:r>
        <w:rPr>
          <w:rStyle w:val="8"/>
          <w:rFonts w:hint="eastAsia" w:cs="Tahoma"/>
          <w:color w:val="333333"/>
          <w:sz w:val="27"/>
          <w:szCs w:val="27"/>
        </w:rPr>
        <w:t>一、实施范围</w:t>
      </w:r>
    </w:p>
    <w:p>
      <w:pPr>
        <w:pStyle w:val="5"/>
        <w:shd w:val="clear" w:color="auto" w:fill="FFFFFF"/>
        <w:adjustRightInd w:val="0"/>
        <w:snapToGrid w:val="0"/>
        <w:spacing w:before="0" w:beforeAutospacing="0" w:after="0" w:afterAutospacing="0" w:line="360" w:lineRule="auto"/>
        <w:ind w:firstLine="555"/>
        <w:rPr>
          <w:rFonts w:ascii="Tahoma" w:hAnsi="Tahoma" w:cs="Tahoma"/>
          <w:color w:val="333333"/>
          <w:sz w:val="21"/>
          <w:szCs w:val="21"/>
        </w:rPr>
      </w:pPr>
      <w:r>
        <w:rPr>
          <w:rFonts w:hint="eastAsia" w:cs="Tahoma"/>
          <w:color w:val="333333"/>
          <w:sz w:val="27"/>
          <w:szCs w:val="27"/>
          <w:lang w:val="en-US" w:eastAsia="zh-CN"/>
        </w:rPr>
        <w:t>2021年</w:t>
      </w:r>
      <w:r>
        <w:rPr>
          <w:rFonts w:hint="eastAsia" w:cs="Tahoma"/>
          <w:color w:val="333333"/>
          <w:sz w:val="27"/>
          <w:szCs w:val="27"/>
        </w:rPr>
        <w:t>学校博士研究生招生方式除了硕博连读外，全面实施“申请-考核”制。</w:t>
      </w:r>
    </w:p>
    <w:p>
      <w:pPr>
        <w:pStyle w:val="5"/>
        <w:shd w:val="clear" w:color="auto" w:fill="FFFFFF"/>
        <w:adjustRightInd w:val="0"/>
        <w:snapToGrid w:val="0"/>
        <w:spacing w:before="0" w:beforeAutospacing="0" w:after="0" w:afterAutospacing="0" w:line="360" w:lineRule="auto"/>
        <w:ind w:firstLine="555"/>
        <w:rPr>
          <w:rFonts w:ascii="Tahoma" w:hAnsi="Tahoma" w:cs="Tahoma"/>
          <w:color w:val="333333"/>
          <w:sz w:val="21"/>
          <w:szCs w:val="21"/>
        </w:rPr>
      </w:pPr>
      <w:r>
        <w:rPr>
          <w:rStyle w:val="8"/>
          <w:rFonts w:hint="eastAsia" w:cs="Tahoma"/>
          <w:color w:val="333333"/>
          <w:sz w:val="27"/>
          <w:szCs w:val="27"/>
        </w:rPr>
        <w:t>二、申请条件</w:t>
      </w:r>
    </w:p>
    <w:p>
      <w:pPr>
        <w:pStyle w:val="5"/>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360" w:lineRule="auto"/>
        <w:ind w:firstLine="555"/>
        <w:textAlignment w:val="auto"/>
        <w:rPr>
          <w:rFonts w:hint="eastAsia" w:ascii="宋体" w:hAnsi="宋体" w:eastAsia="宋体" w:cs="Tahoma"/>
          <w:b w:val="0"/>
          <w:color w:val="333333"/>
          <w:kern w:val="0"/>
          <w:sz w:val="27"/>
          <w:szCs w:val="27"/>
          <w:lang w:val="en-US" w:eastAsia="zh-CN" w:bidi="ar-SA"/>
        </w:rPr>
      </w:pPr>
      <w:r>
        <w:rPr>
          <w:rFonts w:hint="eastAsia" w:ascii="宋体" w:hAnsi="宋体" w:eastAsia="宋体" w:cs="Tahoma"/>
          <w:b w:val="0"/>
          <w:color w:val="333333"/>
          <w:kern w:val="0"/>
          <w:sz w:val="27"/>
          <w:szCs w:val="27"/>
          <w:lang w:val="en-US" w:eastAsia="zh-CN" w:bidi="ar-SA"/>
        </w:rPr>
        <w:t>与学校申请规定一致，</w:t>
      </w:r>
      <w:r>
        <w:rPr>
          <w:rFonts w:hint="eastAsia" w:ascii="宋体" w:hAnsi="宋体" w:eastAsia="宋体" w:cs="Tahoma"/>
          <w:b w:val="0"/>
          <w:color w:val="333333"/>
          <w:kern w:val="0"/>
          <w:sz w:val="27"/>
          <w:szCs w:val="27"/>
          <w:lang w:val="en-US" w:eastAsia="zh-CN" w:bidi="ar-SA"/>
        </w:rPr>
        <w:t>请仔细阅读《南京医科大学2021年全日制博士研究生招生简章（含招生专业目录）》</w:t>
      </w:r>
      <w:r>
        <w:rPr>
          <w:rFonts w:hint="eastAsia" w:ascii="宋体" w:hAnsi="宋体" w:eastAsia="宋体" w:cs="Tahoma"/>
          <w:b w:val="0"/>
          <w:color w:val="333333"/>
          <w:kern w:val="0"/>
          <w:sz w:val="27"/>
          <w:szCs w:val="27"/>
          <w:lang w:val="en-US" w:eastAsia="zh-CN" w:bidi="ar-SA"/>
        </w:rPr>
        <w:t>http://yjszs.njmu.edu.cn/2020/1025/c10189a181827/page.htm</w:t>
      </w:r>
    </w:p>
    <w:p>
      <w:pPr>
        <w:pStyle w:val="5"/>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360" w:lineRule="auto"/>
        <w:ind w:firstLine="555"/>
        <w:textAlignment w:val="auto"/>
        <w:rPr>
          <w:rFonts w:hint="eastAsia" w:ascii="宋体" w:hAnsi="宋体" w:eastAsia="宋体" w:cs="Tahoma"/>
          <w:b w:val="0"/>
          <w:color w:val="333333"/>
          <w:kern w:val="0"/>
          <w:sz w:val="27"/>
          <w:szCs w:val="27"/>
          <w:lang w:val="en-US" w:eastAsia="zh-CN" w:bidi="ar-SA"/>
        </w:rPr>
      </w:pPr>
      <w:r>
        <w:rPr>
          <w:rFonts w:hint="eastAsia" w:ascii="宋体" w:hAnsi="宋体" w:eastAsia="宋体" w:cs="Tahoma"/>
          <w:b w:val="0"/>
          <w:color w:val="333333"/>
          <w:kern w:val="0"/>
          <w:sz w:val="27"/>
          <w:szCs w:val="27"/>
          <w:lang w:val="en-US" w:eastAsia="zh-CN" w:bidi="ar-SA"/>
        </w:rPr>
        <w:t>《南京医科大学2021年“申请-考核”制博士生招生报考须知》http://yjszs.njmu.edu.cn/2020/1126/c10188a186097/page.htm</w:t>
      </w:r>
    </w:p>
    <w:p>
      <w:pPr>
        <w:pStyle w:val="5"/>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360" w:lineRule="auto"/>
        <w:ind w:firstLine="555"/>
        <w:textAlignment w:val="auto"/>
        <w:rPr>
          <w:rFonts w:hint="eastAsia" w:ascii="宋体" w:hAnsi="宋体" w:eastAsia="宋体" w:cs="Tahoma"/>
          <w:b w:val="0"/>
          <w:color w:val="333333"/>
          <w:kern w:val="0"/>
          <w:sz w:val="27"/>
          <w:szCs w:val="27"/>
          <w:lang w:val="en-US" w:eastAsia="zh-CN" w:bidi="ar-SA"/>
        </w:rPr>
      </w:pPr>
      <w:r>
        <w:rPr>
          <w:rFonts w:hint="eastAsia" w:ascii="宋体" w:hAnsi="宋体" w:eastAsia="宋体" w:cs="Tahoma"/>
          <w:b w:val="0"/>
          <w:color w:val="333333"/>
          <w:kern w:val="0"/>
          <w:sz w:val="27"/>
          <w:szCs w:val="27"/>
          <w:lang w:val="en-US" w:eastAsia="zh-CN" w:bidi="ar-SA"/>
        </w:rPr>
        <w:t>《南京医科大学博士研究生招生“申请-考核”制实施办法》 http://yjszs.njmu.edu.cn/89/30/c4952a100656/page.htm。</w:t>
      </w:r>
    </w:p>
    <w:p>
      <w:pPr>
        <w:pStyle w:val="5"/>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360" w:lineRule="auto"/>
        <w:ind w:firstLine="555"/>
        <w:textAlignment w:val="auto"/>
        <w:rPr>
          <w:rFonts w:hint="eastAsia" w:ascii="宋体" w:hAnsi="宋体" w:eastAsia="宋体" w:cs="Tahoma"/>
          <w:b w:val="0"/>
          <w:color w:val="333333"/>
          <w:kern w:val="0"/>
          <w:sz w:val="27"/>
          <w:szCs w:val="27"/>
          <w:lang w:val="en-US" w:eastAsia="zh-CN" w:bidi="ar-SA"/>
        </w:rPr>
      </w:pPr>
      <w:r>
        <w:rPr>
          <w:rFonts w:hint="eastAsia" w:ascii="宋体" w:hAnsi="宋体" w:eastAsia="宋体" w:cs="Tahoma"/>
          <w:b w:val="0"/>
          <w:color w:val="333333"/>
          <w:kern w:val="0"/>
          <w:sz w:val="27"/>
          <w:szCs w:val="27"/>
          <w:lang w:val="en-US" w:eastAsia="zh-CN" w:bidi="ar-SA"/>
        </w:rPr>
        <w:t>提醒：外校应届生如报考全日制临床医学专业学位博士研究生须提供临床硕士专业学位研究生与住院医师规范化培训接轨培养的证明一份。</w:t>
      </w:r>
    </w:p>
    <w:p>
      <w:pPr>
        <w:pStyle w:val="5"/>
        <w:shd w:val="clear" w:color="auto" w:fill="FFFFFF"/>
        <w:adjustRightInd w:val="0"/>
        <w:snapToGrid w:val="0"/>
        <w:spacing w:before="0" w:beforeAutospacing="0" w:after="0" w:afterAutospacing="0" w:line="360" w:lineRule="auto"/>
        <w:ind w:firstLine="555"/>
        <w:rPr>
          <w:rFonts w:ascii="Tahoma" w:hAnsi="Tahoma" w:cs="Tahoma"/>
          <w:color w:val="333333"/>
          <w:sz w:val="21"/>
          <w:szCs w:val="21"/>
        </w:rPr>
      </w:pPr>
      <w:r>
        <w:rPr>
          <w:rStyle w:val="8"/>
          <w:rFonts w:hint="eastAsia" w:cs="Tahoma"/>
          <w:color w:val="333333"/>
          <w:sz w:val="27"/>
          <w:szCs w:val="27"/>
        </w:rPr>
        <w:t>三、工作程序</w:t>
      </w:r>
    </w:p>
    <w:p>
      <w:pPr>
        <w:pStyle w:val="5"/>
        <w:shd w:val="clear" w:color="auto" w:fill="FFFFFF"/>
        <w:adjustRightInd w:val="0"/>
        <w:snapToGrid w:val="0"/>
        <w:spacing w:before="0" w:beforeAutospacing="0" w:after="0" w:afterAutospacing="0" w:line="360" w:lineRule="auto"/>
        <w:ind w:firstLine="555"/>
        <w:rPr>
          <w:rFonts w:ascii="Tahoma" w:hAnsi="Tahoma" w:cs="Tahoma"/>
          <w:color w:val="333333"/>
          <w:sz w:val="21"/>
          <w:szCs w:val="21"/>
        </w:rPr>
      </w:pPr>
      <w:r>
        <w:rPr>
          <w:rFonts w:hint="eastAsia" w:cs="Tahoma"/>
          <w:color w:val="333333"/>
          <w:sz w:val="27"/>
          <w:szCs w:val="27"/>
        </w:rPr>
        <w:t>“申请-考核”制博士研究生招生工作在学校硕博连读选拔工作结束后启动（</w:t>
      </w:r>
      <w:r>
        <w:rPr>
          <w:rFonts w:hint="eastAsia" w:cs="Tahoma"/>
          <w:color w:val="333333"/>
          <w:sz w:val="27"/>
          <w:szCs w:val="27"/>
          <w:lang w:val="en-US" w:eastAsia="zh-CN"/>
        </w:rPr>
        <w:t>2020年</w:t>
      </w:r>
      <w:r>
        <w:rPr>
          <w:rFonts w:hint="eastAsia" w:cs="Tahoma"/>
          <w:color w:val="333333"/>
          <w:sz w:val="27"/>
          <w:szCs w:val="27"/>
        </w:rPr>
        <w:t>11月下旬），当年招生指标被硕博连读考生占满的导师将不再接受“申请-考核”制考生报名。</w:t>
      </w:r>
    </w:p>
    <w:p>
      <w:pPr>
        <w:pStyle w:val="5"/>
        <w:shd w:val="clear" w:color="auto" w:fill="FFFFFF"/>
        <w:adjustRightInd w:val="0"/>
        <w:snapToGrid w:val="0"/>
        <w:spacing w:before="0" w:beforeAutospacing="0" w:after="0" w:afterAutospacing="0" w:line="360" w:lineRule="auto"/>
        <w:ind w:firstLine="555"/>
        <w:rPr>
          <w:rFonts w:ascii="Tahoma" w:hAnsi="Tahoma" w:cs="Tahoma"/>
          <w:color w:val="333333"/>
          <w:sz w:val="21"/>
          <w:szCs w:val="21"/>
        </w:rPr>
      </w:pPr>
      <w:r>
        <w:rPr>
          <w:rFonts w:hint="eastAsia" w:cs="Tahoma"/>
          <w:color w:val="333333"/>
          <w:sz w:val="27"/>
          <w:szCs w:val="27"/>
        </w:rPr>
        <w:t>关注学校研究生院网站招生简章和公告，按照要求进行网上报名。并将申请材料寄送至儿科学院。儿科学院地址：南京市广州路72号南京医科大学附属儿童医院行政楼</w:t>
      </w:r>
      <w:r>
        <w:rPr>
          <w:rFonts w:hint="eastAsia" w:cs="Tahoma"/>
          <w:color w:val="333333"/>
          <w:sz w:val="27"/>
          <w:szCs w:val="27"/>
          <w:lang w:val="en-US" w:eastAsia="zh-CN"/>
        </w:rPr>
        <w:t>6</w:t>
      </w:r>
      <w:r>
        <w:rPr>
          <w:rFonts w:hint="eastAsia" w:cs="Tahoma"/>
          <w:color w:val="333333"/>
          <w:sz w:val="27"/>
          <w:szCs w:val="27"/>
        </w:rPr>
        <w:t>楼儿科学院办公室，邮编：210008，联系人：</w:t>
      </w:r>
      <w:r>
        <w:rPr>
          <w:rFonts w:hint="eastAsia" w:cs="Tahoma"/>
          <w:color w:val="333333"/>
          <w:sz w:val="27"/>
          <w:szCs w:val="27"/>
          <w:lang w:val="en-US" w:eastAsia="zh-CN"/>
        </w:rPr>
        <w:t>周小冬</w:t>
      </w:r>
      <w:r>
        <w:rPr>
          <w:rFonts w:hint="eastAsia" w:cs="Tahoma"/>
          <w:color w:val="333333"/>
          <w:sz w:val="27"/>
          <w:szCs w:val="27"/>
        </w:rPr>
        <w:t>，电话：</w:t>
      </w:r>
      <w:r>
        <w:rPr>
          <w:rFonts w:hint="eastAsia" w:cs="Tahoma"/>
          <w:color w:val="333333"/>
          <w:sz w:val="27"/>
          <w:szCs w:val="27"/>
          <w:lang w:val="en-US" w:eastAsia="zh-CN"/>
        </w:rPr>
        <w:t>15951707580</w:t>
      </w:r>
      <w:r>
        <w:rPr>
          <w:rFonts w:hint="eastAsia" w:cs="Tahoma"/>
          <w:color w:val="333333"/>
          <w:sz w:val="27"/>
          <w:szCs w:val="27"/>
        </w:rPr>
        <w:t>/（025）83116932。</w:t>
      </w:r>
    </w:p>
    <w:p>
      <w:pPr>
        <w:pStyle w:val="5"/>
        <w:shd w:val="clear" w:color="auto" w:fill="FFFFFF"/>
        <w:adjustRightInd w:val="0"/>
        <w:snapToGrid w:val="0"/>
        <w:spacing w:before="0" w:beforeAutospacing="0" w:after="0" w:afterAutospacing="0" w:line="360" w:lineRule="auto"/>
        <w:ind w:firstLine="555"/>
        <w:rPr>
          <w:rFonts w:ascii="Tahoma" w:hAnsi="Tahoma" w:cs="Tahoma"/>
          <w:color w:val="333333"/>
          <w:sz w:val="21"/>
          <w:szCs w:val="21"/>
        </w:rPr>
      </w:pPr>
      <w:r>
        <w:rPr>
          <w:rStyle w:val="8"/>
          <w:rFonts w:hint="eastAsia" w:cs="Tahoma"/>
          <w:color w:val="333333"/>
          <w:sz w:val="27"/>
          <w:szCs w:val="27"/>
        </w:rPr>
        <w:t>（一）资格审查</w:t>
      </w:r>
    </w:p>
    <w:p>
      <w:pPr>
        <w:pStyle w:val="5"/>
        <w:shd w:val="clear" w:color="auto" w:fill="FFFFFF"/>
        <w:adjustRightInd w:val="0"/>
        <w:snapToGrid w:val="0"/>
        <w:spacing w:before="0" w:beforeAutospacing="0" w:after="0" w:afterAutospacing="0" w:line="360" w:lineRule="auto"/>
        <w:ind w:firstLine="555"/>
        <w:rPr>
          <w:rFonts w:ascii="Tahoma" w:hAnsi="Tahoma" w:cs="Tahoma"/>
          <w:color w:val="333333"/>
          <w:sz w:val="21"/>
          <w:szCs w:val="21"/>
        </w:rPr>
      </w:pPr>
      <w:r>
        <w:rPr>
          <w:rFonts w:hint="eastAsia" w:cs="Tahoma"/>
          <w:color w:val="000000"/>
          <w:sz w:val="27"/>
          <w:szCs w:val="27"/>
        </w:rPr>
        <w:t>学院根据申请者所提交的材料，对考生资格进行初审，并成立“资格审查小组”，组员为3-5位副高及以上职称专家，对初审通过的每个申请者的材料进行认真评审并评分，以评分方式，按一定比例（每位招考导师不超过1:5）和择优推荐原则，确定入围综合考核的申请者名单。</w:t>
      </w:r>
    </w:p>
    <w:p>
      <w:pPr>
        <w:pStyle w:val="5"/>
        <w:shd w:val="clear" w:color="auto" w:fill="FFFFFF"/>
        <w:adjustRightInd w:val="0"/>
        <w:snapToGrid w:val="0"/>
        <w:spacing w:before="0" w:beforeAutospacing="0" w:after="0" w:afterAutospacing="0" w:line="360" w:lineRule="auto"/>
        <w:ind w:firstLine="555"/>
        <w:rPr>
          <w:rFonts w:ascii="Tahoma" w:hAnsi="Tahoma" w:cs="Tahoma"/>
          <w:color w:val="333333"/>
          <w:sz w:val="21"/>
          <w:szCs w:val="21"/>
        </w:rPr>
      </w:pPr>
      <w:r>
        <w:rPr>
          <w:rFonts w:hint="eastAsia" w:cs="Tahoma"/>
          <w:color w:val="000000"/>
          <w:sz w:val="27"/>
          <w:szCs w:val="27"/>
        </w:rPr>
        <w:t>资格审查评分包含学术背景20%（指学习经历，参与的研究课题，包括课题级别、考生排名等）、学习成绩和外语水平20%（成绩占10分，主要以考生硕士阶段成绩优秀率，良好率进行量化打分；外语成绩占10分，可以等级考试的分数折算成百分制比较，有海外研修经历可酌情加分）、学术成果40%（考核项目主要包括：1.发表论文的期刊等级、IF、篇数；2.著作、专利；3.科研获奖情况）和综合素质20%（主要包括思想政治情况、社会任职情况和各类获奖情况）。</w:t>
      </w:r>
    </w:p>
    <w:p>
      <w:pPr>
        <w:pStyle w:val="5"/>
        <w:shd w:val="clear" w:color="auto" w:fill="FFFFFF"/>
        <w:adjustRightInd w:val="0"/>
        <w:snapToGrid w:val="0"/>
        <w:spacing w:before="0" w:beforeAutospacing="0" w:after="0" w:afterAutospacing="0" w:line="360" w:lineRule="auto"/>
        <w:ind w:firstLine="555"/>
        <w:rPr>
          <w:rFonts w:ascii="Tahoma" w:hAnsi="Tahoma" w:cs="Tahoma"/>
          <w:color w:val="333333"/>
          <w:sz w:val="21"/>
          <w:szCs w:val="21"/>
        </w:rPr>
      </w:pPr>
      <w:r>
        <w:rPr>
          <w:rFonts w:hint="eastAsia" w:cs="Tahoma"/>
          <w:color w:val="000000"/>
          <w:sz w:val="27"/>
          <w:szCs w:val="27"/>
        </w:rPr>
        <w:t>入围考生名单将公布在学院官网，学院将初审结果通知到每个申请人。</w:t>
      </w:r>
    </w:p>
    <w:p>
      <w:pPr>
        <w:pStyle w:val="5"/>
        <w:shd w:val="clear" w:color="auto" w:fill="FFFFFF"/>
        <w:adjustRightInd w:val="0"/>
        <w:snapToGrid w:val="0"/>
        <w:spacing w:before="0" w:beforeAutospacing="0" w:after="0" w:afterAutospacing="0" w:line="360" w:lineRule="auto"/>
        <w:ind w:firstLine="555"/>
        <w:rPr>
          <w:rFonts w:ascii="Tahoma" w:hAnsi="Tahoma" w:cs="Tahoma"/>
          <w:color w:val="333333"/>
          <w:sz w:val="21"/>
          <w:szCs w:val="21"/>
        </w:rPr>
      </w:pPr>
      <w:r>
        <w:rPr>
          <w:rStyle w:val="8"/>
          <w:rFonts w:hint="eastAsia" w:cs="Tahoma"/>
          <w:color w:val="333333"/>
          <w:sz w:val="27"/>
          <w:szCs w:val="27"/>
        </w:rPr>
        <w:t>（二）综合考核</w:t>
      </w:r>
    </w:p>
    <w:p>
      <w:pPr>
        <w:pStyle w:val="5"/>
        <w:shd w:val="clear" w:color="auto" w:fill="FFFFFF"/>
        <w:adjustRightInd w:val="0"/>
        <w:snapToGrid w:val="0"/>
        <w:spacing w:before="0" w:beforeAutospacing="0" w:after="0" w:afterAutospacing="0" w:line="360" w:lineRule="auto"/>
        <w:ind w:firstLine="555"/>
        <w:rPr>
          <w:rFonts w:ascii="Tahoma" w:hAnsi="Tahoma" w:cs="Tahoma"/>
          <w:color w:val="333333"/>
          <w:sz w:val="21"/>
          <w:szCs w:val="21"/>
        </w:rPr>
      </w:pPr>
      <w:r>
        <w:rPr>
          <w:rFonts w:hint="eastAsia" w:cs="Tahoma"/>
          <w:color w:val="333333"/>
          <w:sz w:val="27"/>
          <w:szCs w:val="27"/>
        </w:rPr>
        <w:t>综合考核由综合笔试、综合能力考核和综合答辩三个部分组成。综合考核总成绩=综合笔试成绩×20%+综合能力考核成绩×50%+综合答辩成绩×30%。</w:t>
      </w:r>
    </w:p>
    <w:p>
      <w:pPr>
        <w:pStyle w:val="5"/>
        <w:shd w:val="clear" w:color="auto" w:fill="FFFFFF"/>
        <w:adjustRightInd w:val="0"/>
        <w:snapToGrid w:val="0"/>
        <w:spacing w:before="0" w:beforeAutospacing="0" w:after="0" w:afterAutospacing="0" w:line="360" w:lineRule="auto"/>
        <w:ind w:firstLine="555"/>
        <w:rPr>
          <w:rFonts w:ascii="Tahoma" w:hAnsi="Tahoma" w:cs="Tahoma"/>
          <w:color w:val="333333"/>
          <w:sz w:val="21"/>
          <w:szCs w:val="21"/>
        </w:rPr>
      </w:pPr>
      <w:r>
        <w:rPr>
          <w:rFonts w:hint="eastAsia" w:cs="Tahoma"/>
          <w:color w:val="333333"/>
          <w:sz w:val="27"/>
          <w:szCs w:val="27"/>
        </w:rPr>
        <w:t>重点考核考生综合运用所学知识的能力、学科前沿知识及是否具备博士研究生培养的潜能和综合素质。特别注重考查考生的道德品质、遵纪守法、科学精神、学术道德、专业伦理、诚实守信等方面情况。对报考专业学位的考生加强临床技能操作考核。</w:t>
      </w:r>
    </w:p>
    <w:p>
      <w:pPr>
        <w:pStyle w:val="5"/>
        <w:shd w:val="clear" w:color="auto" w:fill="FFFFFF"/>
        <w:adjustRightInd w:val="0"/>
        <w:snapToGrid w:val="0"/>
        <w:spacing w:before="0" w:beforeAutospacing="0" w:after="0" w:afterAutospacing="0" w:line="360" w:lineRule="auto"/>
        <w:ind w:firstLine="555"/>
        <w:rPr>
          <w:rFonts w:ascii="Tahoma" w:hAnsi="Tahoma" w:cs="Tahoma"/>
          <w:color w:val="333333"/>
          <w:sz w:val="21"/>
          <w:szCs w:val="21"/>
        </w:rPr>
      </w:pPr>
      <w:r>
        <w:rPr>
          <w:rStyle w:val="8"/>
          <w:rFonts w:hint="eastAsia" w:cs="Tahoma"/>
          <w:color w:val="000000"/>
          <w:sz w:val="27"/>
          <w:szCs w:val="27"/>
        </w:rPr>
        <w:t>1.综合笔试（占20%）</w:t>
      </w:r>
    </w:p>
    <w:p>
      <w:pPr>
        <w:pStyle w:val="5"/>
        <w:shd w:val="clear" w:color="auto" w:fill="FFFFFF"/>
        <w:adjustRightInd w:val="0"/>
        <w:snapToGrid w:val="0"/>
        <w:spacing w:before="0" w:beforeAutospacing="0" w:after="0" w:afterAutospacing="0" w:line="360" w:lineRule="auto"/>
        <w:ind w:firstLine="645"/>
        <w:rPr>
          <w:rFonts w:ascii="Tahoma" w:hAnsi="Tahoma" w:cs="Tahoma"/>
          <w:color w:val="333333"/>
          <w:sz w:val="21"/>
          <w:szCs w:val="21"/>
        </w:rPr>
      </w:pPr>
      <w:r>
        <w:rPr>
          <w:rFonts w:hint="eastAsia" w:cs="Tahoma"/>
          <w:color w:val="333333"/>
          <w:sz w:val="27"/>
          <w:szCs w:val="27"/>
        </w:rPr>
        <w:t>形式：考试工作由学院统一组织。通知考生到学院完成闭卷考试。时间3小时，</w:t>
      </w:r>
      <w:r>
        <w:rPr>
          <w:rFonts w:hint="eastAsia" w:cs="Tahoma"/>
          <w:color w:val="000000"/>
          <w:sz w:val="27"/>
          <w:szCs w:val="27"/>
        </w:rPr>
        <w:t>满分100分。</w:t>
      </w:r>
    </w:p>
    <w:p>
      <w:pPr>
        <w:pStyle w:val="5"/>
        <w:shd w:val="clear" w:color="auto" w:fill="FFFFFF"/>
        <w:adjustRightInd w:val="0"/>
        <w:snapToGrid w:val="0"/>
        <w:spacing w:before="0" w:beforeAutospacing="0" w:after="0" w:afterAutospacing="0" w:line="360" w:lineRule="auto"/>
        <w:ind w:firstLine="555"/>
        <w:rPr>
          <w:rFonts w:ascii="Tahoma" w:hAnsi="Tahoma" w:cs="Tahoma"/>
          <w:color w:val="333333"/>
          <w:sz w:val="21"/>
          <w:szCs w:val="21"/>
        </w:rPr>
      </w:pPr>
      <w:r>
        <w:rPr>
          <w:rFonts w:hint="eastAsia" w:cs="Tahoma"/>
          <w:color w:val="333333"/>
          <w:sz w:val="27"/>
          <w:szCs w:val="27"/>
        </w:rPr>
        <w:t>内容：（1）专业外语（占50%）：主要考核考生阅读和翻译外文文献的水平；（2）专业课（占50%）：考核题型主要为问答题和病例分析题，主要考核儿科学基础知识和专业知识掌握程度。</w:t>
      </w:r>
    </w:p>
    <w:p>
      <w:pPr>
        <w:pStyle w:val="5"/>
        <w:shd w:val="clear" w:color="auto" w:fill="FFFFFF"/>
        <w:adjustRightInd w:val="0"/>
        <w:snapToGrid w:val="0"/>
        <w:spacing w:before="0" w:beforeAutospacing="0" w:after="0" w:afterAutospacing="0" w:line="360" w:lineRule="auto"/>
        <w:ind w:firstLine="555"/>
        <w:rPr>
          <w:rFonts w:ascii="Tahoma" w:hAnsi="Tahoma" w:cs="Tahoma"/>
          <w:color w:val="333333"/>
          <w:sz w:val="21"/>
          <w:szCs w:val="21"/>
        </w:rPr>
      </w:pPr>
      <w:r>
        <w:rPr>
          <w:rFonts w:hint="eastAsia" w:cs="Tahoma"/>
          <w:color w:val="333333"/>
          <w:sz w:val="27"/>
          <w:szCs w:val="27"/>
        </w:rPr>
        <w:t>专业课主要参考教材《儿科学》（第</w:t>
      </w:r>
      <w:r>
        <w:rPr>
          <w:rFonts w:hint="eastAsia" w:cs="Tahoma"/>
          <w:color w:val="333333"/>
          <w:sz w:val="27"/>
          <w:szCs w:val="27"/>
          <w:lang w:val="en-US" w:eastAsia="zh-CN"/>
        </w:rPr>
        <w:t>9</w:t>
      </w:r>
      <w:r>
        <w:rPr>
          <w:rFonts w:hint="eastAsia" w:cs="Tahoma"/>
          <w:color w:val="333333"/>
          <w:sz w:val="27"/>
          <w:szCs w:val="27"/>
        </w:rPr>
        <w:t>版）（王卫平等主编，201</w:t>
      </w:r>
      <w:r>
        <w:rPr>
          <w:rFonts w:hint="eastAsia" w:cs="Tahoma"/>
          <w:color w:val="333333"/>
          <w:sz w:val="27"/>
          <w:szCs w:val="27"/>
          <w:lang w:val="en-US" w:eastAsia="zh-CN"/>
        </w:rPr>
        <w:t>9</w:t>
      </w:r>
      <w:r>
        <w:rPr>
          <w:rFonts w:hint="eastAsia" w:cs="Tahoma"/>
          <w:color w:val="333333"/>
          <w:sz w:val="27"/>
          <w:szCs w:val="27"/>
        </w:rPr>
        <w:t>年，人民卫生出版社）、《小儿内科学》（第</w:t>
      </w:r>
      <w:r>
        <w:rPr>
          <w:rFonts w:hint="eastAsia" w:cs="Tahoma"/>
          <w:color w:val="333333"/>
          <w:sz w:val="27"/>
          <w:szCs w:val="27"/>
          <w:lang w:val="en-US" w:eastAsia="zh-CN"/>
        </w:rPr>
        <w:t>6</w:t>
      </w:r>
      <w:r>
        <w:rPr>
          <w:rFonts w:hint="eastAsia" w:cs="Tahoma"/>
          <w:color w:val="333333"/>
          <w:sz w:val="27"/>
          <w:szCs w:val="27"/>
        </w:rPr>
        <w:t>版）（孙锟等主编，20</w:t>
      </w:r>
      <w:r>
        <w:rPr>
          <w:rFonts w:hint="eastAsia" w:cs="Tahoma"/>
          <w:color w:val="333333"/>
          <w:sz w:val="27"/>
          <w:szCs w:val="27"/>
          <w:lang w:val="en-US" w:eastAsia="zh-CN"/>
        </w:rPr>
        <w:t>20</w:t>
      </w:r>
      <w:r>
        <w:rPr>
          <w:rFonts w:hint="eastAsia" w:cs="Tahoma"/>
          <w:color w:val="333333"/>
          <w:sz w:val="27"/>
          <w:szCs w:val="27"/>
        </w:rPr>
        <w:t>年，人民卫生出版社）、《小儿外科学》（第</w:t>
      </w:r>
      <w:r>
        <w:rPr>
          <w:rFonts w:hint="eastAsia" w:cs="Tahoma"/>
          <w:color w:val="333333"/>
          <w:sz w:val="27"/>
          <w:szCs w:val="27"/>
          <w:lang w:val="en-US" w:eastAsia="zh-CN"/>
        </w:rPr>
        <w:t>6</w:t>
      </w:r>
      <w:r>
        <w:rPr>
          <w:rFonts w:hint="eastAsia" w:cs="Tahoma"/>
          <w:color w:val="333333"/>
          <w:sz w:val="27"/>
          <w:szCs w:val="27"/>
        </w:rPr>
        <w:t>版）（蔡威等主编，20</w:t>
      </w:r>
      <w:r>
        <w:rPr>
          <w:rFonts w:hint="eastAsia" w:cs="Tahoma"/>
          <w:color w:val="333333"/>
          <w:sz w:val="27"/>
          <w:szCs w:val="27"/>
          <w:lang w:val="en-US" w:eastAsia="zh-CN"/>
        </w:rPr>
        <w:t>20</w:t>
      </w:r>
      <w:r>
        <w:rPr>
          <w:rFonts w:hint="eastAsia" w:cs="Tahoma"/>
          <w:color w:val="333333"/>
          <w:sz w:val="27"/>
          <w:szCs w:val="27"/>
        </w:rPr>
        <w:t>年，人民卫生出版社）。</w:t>
      </w:r>
    </w:p>
    <w:p>
      <w:pPr>
        <w:pStyle w:val="5"/>
        <w:shd w:val="clear" w:color="auto" w:fill="FFFFFF"/>
        <w:adjustRightInd w:val="0"/>
        <w:snapToGrid w:val="0"/>
        <w:spacing w:before="0" w:beforeAutospacing="0" w:after="0" w:afterAutospacing="0" w:line="360" w:lineRule="auto"/>
        <w:ind w:firstLine="555"/>
        <w:rPr>
          <w:rFonts w:ascii="Tahoma" w:hAnsi="Tahoma" w:cs="Tahoma"/>
          <w:color w:val="333333"/>
          <w:sz w:val="21"/>
          <w:szCs w:val="21"/>
        </w:rPr>
      </w:pPr>
      <w:r>
        <w:rPr>
          <w:rStyle w:val="8"/>
          <w:rFonts w:hint="eastAsia" w:cs="Tahoma"/>
          <w:color w:val="333333"/>
          <w:sz w:val="27"/>
          <w:szCs w:val="27"/>
        </w:rPr>
        <w:t>2.综合能力考核（占50%）</w:t>
      </w:r>
    </w:p>
    <w:p>
      <w:pPr>
        <w:pStyle w:val="5"/>
        <w:shd w:val="clear" w:color="auto" w:fill="FFFFFF"/>
        <w:adjustRightInd w:val="0"/>
        <w:snapToGrid w:val="0"/>
        <w:spacing w:before="0" w:beforeAutospacing="0" w:after="0" w:afterAutospacing="0" w:line="360" w:lineRule="auto"/>
        <w:ind w:firstLine="540" w:firstLineChars="200"/>
        <w:rPr>
          <w:rFonts w:ascii="Tahoma" w:hAnsi="Tahoma" w:cs="Tahoma"/>
          <w:color w:val="333333"/>
          <w:sz w:val="21"/>
          <w:szCs w:val="21"/>
        </w:rPr>
      </w:pPr>
      <w:r>
        <w:rPr>
          <w:rFonts w:hint="eastAsia" w:cs="Tahoma"/>
          <w:color w:val="333333"/>
          <w:sz w:val="27"/>
          <w:szCs w:val="27"/>
        </w:rPr>
        <w:t>形式：开放性，5天内完成，满分100分。由考生自行联系报考导师完成。</w:t>
      </w:r>
    </w:p>
    <w:p>
      <w:pPr>
        <w:pStyle w:val="5"/>
        <w:shd w:val="clear" w:color="auto" w:fill="FFFFFF"/>
        <w:adjustRightInd w:val="0"/>
        <w:snapToGrid w:val="0"/>
        <w:spacing w:before="0" w:beforeAutospacing="0" w:after="0" w:afterAutospacing="0" w:line="360" w:lineRule="auto"/>
        <w:ind w:firstLine="555"/>
        <w:rPr>
          <w:rFonts w:ascii="Tahoma" w:hAnsi="Tahoma" w:cs="Tahoma"/>
          <w:color w:val="333333"/>
          <w:sz w:val="21"/>
          <w:szCs w:val="21"/>
        </w:rPr>
      </w:pPr>
      <w:r>
        <w:rPr>
          <w:rFonts w:hint="eastAsia" w:cs="Tahoma"/>
          <w:color w:val="333333"/>
          <w:sz w:val="27"/>
          <w:szCs w:val="27"/>
        </w:rPr>
        <w:t>内容：（1）科研思维考核（满分60分）：阅读文献，撰写报考导师指定内容的科研设计；（2）实践操作能力（满分40分），报考科学学位考生偏重实验/操作技能考核，报考专业学位考生偏重临床技能考核。具体考核由报考导师确定并完成。</w:t>
      </w:r>
    </w:p>
    <w:p>
      <w:pPr>
        <w:pStyle w:val="5"/>
        <w:shd w:val="clear" w:color="auto" w:fill="FFFFFF"/>
        <w:adjustRightInd w:val="0"/>
        <w:snapToGrid w:val="0"/>
        <w:spacing w:before="0" w:beforeAutospacing="0" w:after="0" w:afterAutospacing="0" w:line="360" w:lineRule="auto"/>
        <w:ind w:firstLine="555"/>
        <w:rPr>
          <w:rFonts w:ascii="Tahoma" w:hAnsi="Tahoma" w:cs="Tahoma"/>
          <w:color w:val="333333"/>
          <w:sz w:val="21"/>
          <w:szCs w:val="21"/>
        </w:rPr>
      </w:pPr>
      <w:r>
        <w:rPr>
          <w:rFonts w:hint="eastAsia" w:cs="Tahoma"/>
          <w:color w:val="333333"/>
          <w:sz w:val="27"/>
          <w:szCs w:val="27"/>
        </w:rPr>
        <w:t>报考导师根据考生提交的科研设计和实践操作考核情况，填写综合能力考核评分表，对考生进行评分。综合能力考核合格线：60分。综合能力考核不合格者、思想品德考核不合格者，不予录取。</w:t>
      </w:r>
    </w:p>
    <w:p>
      <w:pPr>
        <w:pStyle w:val="5"/>
        <w:shd w:val="clear" w:color="auto" w:fill="FFFFFF"/>
        <w:adjustRightInd w:val="0"/>
        <w:snapToGrid w:val="0"/>
        <w:spacing w:before="0" w:beforeAutospacing="0" w:after="0" w:afterAutospacing="0" w:line="360" w:lineRule="auto"/>
        <w:ind w:firstLine="645"/>
        <w:rPr>
          <w:rFonts w:ascii="Tahoma" w:hAnsi="Tahoma" w:cs="Tahoma"/>
          <w:color w:val="333333"/>
          <w:sz w:val="21"/>
          <w:szCs w:val="21"/>
        </w:rPr>
      </w:pPr>
      <w:r>
        <w:rPr>
          <w:rStyle w:val="8"/>
          <w:rFonts w:hint="eastAsia" w:cs="Tahoma"/>
          <w:color w:val="333333"/>
          <w:sz w:val="27"/>
          <w:szCs w:val="27"/>
        </w:rPr>
        <w:t>3.综合答辩（占30%）</w:t>
      </w:r>
    </w:p>
    <w:p>
      <w:pPr>
        <w:pStyle w:val="5"/>
        <w:shd w:val="clear" w:color="auto" w:fill="FFFFFF"/>
        <w:adjustRightInd w:val="0"/>
        <w:snapToGrid w:val="0"/>
        <w:spacing w:before="0" w:beforeAutospacing="0" w:after="0" w:afterAutospacing="0" w:line="360" w:lineRule="auto"/>
        <w:ind w:firstLine="540" w:firstLineChars="200"/>
        <w:rPr>
          <w:rFonts w:ascii="Tahoma" w:hAnsi="Tahoma" w:cs="Tahoma"/>
          <w:color w:val="333333"/>
          <w:sz w:val="21"/>
          <w:szCs w:val="21"/>
        </w:rPr>
      </w:pPr>
      <w:r>
        <w:rPr>
          <w:rFonts w:hint="eastAsia" w:cs="Tahoma"/>
          <w:color w:val="333333"/>
          <w:sz w:val="27"/>
          <w:szCs w:val="27"/>
        </w:rPr>
        <w:t>形式：满分100分。学院组织成立综合答辩专家小组，统一对考生进行考核（在学院网站公布考核时间和地点），答辩专家不少于5位博士生导师，其中至少3位为学术型博士生导师，专家组对考生逐一考核，考生准备PPT汇报（准备3-5分钟PPT，介绍个人简历、已取得的科研成果以及完成的科研设计），答辩考核每人不少于20分钟。</w:t>
      </w:r>
    </w:p>
    <w:p>
      <w:pPr>
        <w:pStyle w:val="5"/>
        <w:shd w:val="clear" w:color="auto" w:fill="FFFFFF"/>
        <w:adjustRightInd w:val="0"/>
        <w:snapToGrid w:val="0"/>
        <w:spacing w:before="0" w:beforeAutospacing="0" w:after="0" w:afterAutospacing="0" w:line="360" w:lineRule="auto"/>
        <w:ind w:firstLine="555"/>
        <w:rPr>
          <w:rFonts w:ascii="Tahoma" w:hAnsi="Tahoma" w:cs="Tahoma"/>
          <w:color w:val="333333"/>
          <w:sz w:val="21"/>
          <w:szCs w:val="21"/>
        </w:rPr>
      </w:pPr>
      <w:r>
        <w:rPr>
          <w:rFonts w:hint="eastAsia" w:cs="Tahoma"/>
          <w:color w:val="333333"/>
          <w:sz w:val="27"/>
          <w:szCs w:val="27"/>
        </w:rPr>
        <w:t>内容：提出专业问题，要求考生现场作答，考核综合运用所学知识的能力、创新能力、科研潜质、外国语应用能力等。</w:t>
      </w:r>
    </w:p>
    <w:p>
      <w:pPr>
        <w:pStyle w:val="5"/>
        <w:shd w:val="clear" w:color="auto" w:fill="FFFFFF"/>
        <w:adjustRightInd w:val="0"/>
        <w:snapToGrid w:val="0"/>
        <w:spacing w:before="0" w:beforeAutospacing="0" w:after="0" w:afterAutospacing="0" w:line="360" w:lineRule="auto"/>
        <w:ind w:firstLine="555"/>
        <w:rPr>
          <w:rFonts w:ascii="Tahoma" w:hAnsi="Tahoma" w:cs="Tahoma"/>
          <w:color w:val="333333"/>
          <w:sz w:val="21"/>
          <w:szCs w:val="21"/>
        </w:rPr>
      </w:pPr>
      <w:r>
        <w:rPr>
          <w:rFonts w:hint="eastAsia" w:cs="Tahoma"/>
          <w:color w:val="333333"/>
          <w:sz w:val="27"/>
          <w:szCs w:val="27"/>
        </w:rPr>
        <w:t>综合答辩全程录音录像，学院妥善留存备查。</w:t>
      </w:r>
    </w:p>
    <w:p>
      <w:pPr>
        <w:pStyle w:val="5"/>
        <w:shd w:val="clear" w:color="auto" w:fill="FFFFFF"/>
        <w:adjustRightInd w:val="0"/>
        <w:snapToGrid w:val="0"/>
        <w:spacing w:before="0" w:beforeAutospacing="0" w:after="0" w:afterAutospacing="0" w:line="360" w:lineRule="auto"/>
        <w:ind w:firstLine="555"/>
        <w:rPr>
          <w:rFonts w:ascii="Tahoma" w:hAnsi="Tahoma" w:cs="Tahoma"/>
          <w:color w:val="333333"/>
          <w:sz w:val="21"/>
          <w:szCs w:val="21"/>
        </w:rPr>
      </w:pPr>
      <w:r>
        <w:rPr>
          <w:rStyle w:val="8"/>
          <w:rFonts w:hint="eastAsia" w:cs="Tahoma"/>
          <w:color w:val="333333"/>
          <w:sz w:val="27"/>
          <w:szCs w:val="27"/>
        </w:rPr>
        <w:t>四、录取工作</w:t>
      </w:r>
    </w:p>
    <w:p>
      <w:pPr>
        <w:pStyle w:val="5"/>
        <w:shd w:val="clear" w:color="auto" w:fill="FFFFFF"/>
        <w:adjustRightInd w:val="0"/>
        <w:snapToGrid w:val="0"/>
        <w:spacing w:before="0" w:beforeAutospacing="0" w:after="0" w:afterAutospacing="0" w:line="360" w:lineRule="auto"/>
        <w:ind w:firstLine="555"/>
        <w:rPr>
          <w:rFonts w:ascii="Tahoma" w:hAnsi="Tahoma" w:cs="Tahoma"/>
          <w:color w:val="333333"/>
          <w:sz w:val="21"/>
          <w:szCs w:val="21"/>
        </w:rPr>
      </w:pPr>
      <w:r>
        <w:rPr>
          <w:rFonts w:hint="eastAsia" w:cs="Tahoma"/>
          <w:color w:val="333333"/>
          <w:sz w:val="27"/>
          <w:szCs w:val="27"/>
        </w:rPr>
        <w:t>1.按照“择优录取、保证质量、宁缺毋滥”的原则进行录取工作。</w:t>
      </w:r>
    </w:p>
    <w:p>
      <w:pPr>
        <w:pStyle w:val="5"/>
        <w:shd w:val="clear" w:color="auto" w:fill="FFFFFF"/>
        <w:adjustRightInd w:val="0"/>
        <w:snapToGrid w:val="0"/>
        <w:spacing w:before="0" w:beforeAutospacing="0" w:after="0" w:afterAutospacing="0" w:line="360" w:lineRule="auto"/>
        <w:ind w:firstLine="540" w:firstLineChars="200"/>
        <w:rPr>
          <w:rFonts w:ascii="Tahoma" w:hAnsi="Tahoma" w:cs="Tahoma"/>
          <w:color w:val="333333"/>
          <w:sz w:val="21"/>
          <w:szCs w:val="21"/>
        </w:rPr>
      </w:pPr>
      <w:r>
        <w:rPr>
          <w:rFonts w:hint="eastAsia" w:cs="Tahoma"/>
          <w:color w:val="333333"/>
          <w:sz w:val="27"/>
          <w:szCs w:val="27"/>
        </w:rPr>
        <w:t>2.学院研究生招生工作领导小组审议确定拟录取名单，在学院网站主页公示申请人科研学术情况、综合考核各项成绩等情况，公示时间不少于10个工作日。考生对公示情况有异议可向学院或研究生院提出申诉。</w:t>
      </w:r>
    </w:p>
    <w:p>
      <w:pPr>
        <w:pStyle w:val="5"/>
        <w:shd w:val="clear" w:color="auto" w:fill="FFFFFF"/>
        <w:adjustRightInd w:val="0"/>
        <w:snapToGrid w:val="0"/>
        <w:spacing w:before="0" w:beforeAutospacing="0" w:after="0" w:afterAutospacing="0" w:line="360" w:lineRule="auto"/>
        <w:ind w:firstLine="540" w:firstLineChars="200"/>
        <w:rPr>
          <w:rFonts w:ascii="Tahoma" w:hAnsi="Tahoma" w:cs="Tahoma"/>
          <w:color w:val="333333"/>
          <w:sz w:val="21"/>
          <w:szCs w:val="21"/>
        </w:rPr>
      </w:pPr>
      <w:r>
        <w:rPr>
          <w:rFonts w:hint="eastAsia" w:cs="Tahoma"/>
          <w:color w:val="333333"/>
          <w:sz w:val="27"/>
          <w:szCs w:val="27"/>
        </w:rPr>
        <w:t>3.公示结束后，学院将拟录取名单连同考核相关表格及材料上报研究生院，经研究生院审核通过后，在学校研究生招生网上统一公示拟录取博士生名单，并经体检、政审、调档等流程后，学校向拟录取新生发录取通知书。</w:t>
      </w:r>
      <w:bookmarkStart w:id="0" w:name="_GoBack"/>
      <w:bookmarkEnd w:id="0"/>
    </w:p>
    <w:p>
      <w:pPr>
        <w:pStyle w:val="5"/>
        <w:shd w:val="clear" w:color="auto" w:fill="FFFFFF"/>
        <w:adjustRightInd w:val="0"/>
        <w:snapToGrid w:val="0"/>
        <w:spacing w:before="0" w:beforeAutospacing="0" w:after="0" w:afterAutospacing="0" w:line="360" w:lineRule="auto"/>
        <w:ind w:firstLine="555"/>
        <w:rPr>
          <w:rFonts w:ascii="Tahoma" w:hAnsi="Tahoma" w:cs="Tahoma"/>
          <w:color w:val="333333"/>
          <w:sz w:val="21"/>
          <w:szCs w:val="21"/>
        </w:rPr>
      </w:pPr>
      <w:r>
        <w:rPr>
          <w:rStyle w:val="8"/>
          <w:rFonts w:hint="eastAsia" w:cs="Tahoma"/>
          <w:color w:val="333333"/>
          <w:sz w:val="27"/>
          <w:szCs w:val="27"/>
        </w:rPr>
        <w:t>五、监督保障机制</w:t>
      </w:r>
    </w:p>
    <w:p>
      <w:pPr>
        <w:pStyle w:val="5"/>
        <w:shd w:val="clear" w:color="auto" w:fill="FFFFFF"/>
        <w:adjustRightInd w:val="0"/>
        <w:snapToGrid w:val="0"/>
        <w:spacing w:before="0" w:beforeAutospacing="0" w:after="0" w:afterAutospacing="0" w:line="360" w:lineRule="auto"/>
        <w:ind w:firstLine="555"/>
        <w:rPr>
          <w:rFonts w:ascii="Tahoma" w:hAnsi="Tahoma" w:cs="Tahoma"/>
          <w:color w:val="333333"/>
          <w:sz w:val="21"/>
          <w:szCs w:val="21"/>
        </w:rPr>
      </w:pPr>
      <w:r>
        <w:rPr>
          <w:rFonts w:hint="eastAsia" w:cs="Tahoma"/>
          <w:color w:val="333333"/>
          <w:sz w:val="27"/>
          <w:szCs w:val="27"/>
        </w:rPr>
        <w:t>1.成立院级博士研究生招生监察小组，对“申请-考核”制招生选拔进行全过程监察督导。研究生院与学校纪检监察部门联合成立由研究生教育专家及纪检监察干部组成的巡视组，将对综合答辩考核进行监督。对于招生过程中出现徇私舞弊、滥用职权的人员，一经查实将按国家和学校有关规定严肃处理；对于弄虚作假、违反考试纪律的考生，一经查实将永久取消其报考南京医科大学博士研究生资格，已被录取者将被取消入学资格。</w:t>
      </w:r>
    </w:p>
    <w:p>
      <w:pPr>
        <w:pStyle w:val="5"/>
        <w:shd w:val="clear" w:color="auto" w:fill="FFFFFF"/>
        <w:adjustRightInd w:val="0"/>
        <w:snapToGrid w:val="0"/>
        <w:spacing w:before="0" w:beforeAutospacing="0" w:after="0" w:afterAutospacing="0" w:line="360" w:lineRule="auto"/>
        <w:ind w:firstLine="555"/>
        <w:rPr>
          <w:rFonts w:ascii="Tahoma" w:hAnsi="Tahoma" w:cs="Tahoma"/>
          <w:color w:val="333333"/>
          <w:sz w:val="21"/>
          <w:szCs w:val="21"/>
        </w:rPr>
      </w:pPr>
      <w:r>
        <w:rPr>
          <w:rFonts w:hint="eastAsia" w:cs="Tahoma"/>
          <w:color w:val="333333"/>
          <w:sz w:val="27"/>
          <w:szCs w:val="27"/>
        </w:rPr>
        <w:t>2.凡对录取结果持有异议的考生或导师，可在公示期间进行申诉。申诉人向学院提交书面申诉书及有关证明材料，学院将及时处理并将复议结果告知申诉人，有关材料存档备案；如对院级处理结果不服，可在院级处理结果下达后5个工作日内向学校研究生院和纪检监察部门进行申诉。</w:t>
      </w:r>
    </w:p>
    <w:p>
      <w:pPr>
        <w:pStyle w:val="5"/>
        <w:shd w:val="clear" w:color="auto" w:fill="FFFFFF"/>
        <w:adjustRightInd w:val="0"/>
        <w:snapToGrid w:val="0"/>
        <w:spacing w:before="0" w:beforeAutospacing="0" w:after="0" w:afterAutospacing="0" w:line="360" w:lineRule="auto"/>
        <w:ind w:firstLine="555"/>
        <w:rPr>
          <w:rFonts w:ascii="Tahoma" w:hAnsi="Tahoma" w:cs="Tahoma"/>
          <w:color w:val="333333"/>
          <w:sz w:val="21"/>
          <w:szCs w:val="21"/>
        </w:rPr>
      </w:pPr>
      <w:r>
        <w:rPr>
          <w:rStyle w:val="8"/>
          <w:rFonts w:hint="eastAsia" w:cs="Tahoma"/>
          <w:color w:val="333333"/>
          <w:sz w:val="27"/>
          <w:szCs w:val="27"/>
        </w:rPr>
        <w:t>六、其他</w:t>
      </w:r>
    </w:p>
    <w:p>
      <w:pPr>
        <w:pStyle w:val="5"/>
        <w:shd w:val="clear" w:color="auto" w:fill="FFFFFF"/>
        <w:adjustRightInd w:val="0"/>
        <w:snapToGrid w:val="0"/>
        <w:spacing w:before="0" w:beforeAutospacing="0" w:after="0" w:afterAutospacing="0" w:line="360" w:lineRule="auto"/>
        <w:ind w:firstLine="555"/>
        <w:rPr>
          <w:rFonts w:ascii="Tahoma" w:hAnsi="Tahoma" w:cs="Tahoma"/>
          <w:color w:val="333333"/>
          <w:sz w:val="21"/>
          <w:szCs w:val="21"/>
        </w:rPr>
      </w:pPr>
      <w:r>
        <w:rPr>
          <w:rFonts w:hint="eastAsia" w:cs="Tahoma"/>
          <w:color w:val="333333"/>
          <w:sz w:val="27"/>
          <w:szCs w:val="27"/>
        </w:rPr>
        <w:t>1.应届毕业考生入学时未取得国家承认的相应学位学历证书者，取消其攻读南京医科大学博士学位研究生的资格。</w:t>
      </w:r>
    </w:p>
    <w:p>
      <w:pPr>
        <w:pStyle w:val="5"/>
        <w:shd w:val="clear" w:color="auto" w:fill="FFFFFF"/>
        <w:adjustRightInd w:val="0"/>
        <w:snapToGrid w:val="0"/>
        <w:spacing w:before="0" w:beforeAutospacing="0" w:after="0" w:afterAutospacing="0" w:line="360" w:lineRule="auto"/>
        <w:ind w:firstLine="540" w:firstLineChars="200"/>
        <w:rPr>
          <w:rFonts w:ascii="Tahoma" w:hAnsi="Tahoma" w:cs="Tahoma"/>
          <w:color w:val="333333"/>
          <w:sz w:val="21"/>
          <w:szCs w:val="21"/>
        </w:rPr>
      </w:pPr>
      <w:r>
        <w:rPr>
          <w:rFonts w:hint="eastAsia" w:cs="Tahoma"/>
          <w:color w:val="333333"/>
          <w:sz w:val="27"/>
          <w:szCs w:val="27"/>
          <w:lang w:val="en-US" w:eastAsia="zh-CN"/>
        </w:rPr>
        <w:t>2</w:t>
      </w:r>
      <w:r>
        <w:rPr>
          <w:rFonts w:hint="eastAsia" w:cs="Tahoma"/>
          <w:color w:val="333333"/>
          <w:sz w:val="27"/>
          <w:szCs w:val="27"/>
        </w:rPr>
        <w:t>.如遇上级部门新政策文件，学院将做相应调整。</w:t>
      </w:r>
    </w:p>
    <w:p>
      <w:pPr>
        <w:pStyle w:val="5"/>
        <w:shd w:val="clear" w:color="auto" w:fill="FFFFFF"/>
        <w:adjustRightInd w:val="0"/>
        <w:snapToGrid w:val="0"/>
        <w:spacing w:before="0" w:beforeAutospacing="0" w:after="0" w:afterAutospacing="0" w:line="360" w:lineRule="auto"/>
        <w:jc w:val="right"/>
        <w:rPr>
          <w:rFonts w:ascii="Tahoma" w:hAnsi="Tahoma" w:cs="Tahoma"/>
          <w:color w:val="333333"/>
          <w:sz w:val="21"/>
          <w:szCs w:val="21"/>
        </w:rPr>
      </w:pPr>
    </w:p>
    <w:p>
      <w:pPr>
        <w:pStyle w:val="5"/>
        <w:shd w:val="clear" w:color="auto" w:fill="FFFFFF"/>
        <w:adjustRightInd w:val="0"/>
        <w:snapToGrid w:val="0"/>
        <w:spacing w:before="0" w:beforeAutospacing="0" w:after="0" w:afterAutospacing="0" w:line="360" w:lineRule="auto"/>
        <w:jc w:val="right"/>
        <w:rPr>
          <w:rFonts w:ascii="Tahoma" w:hAnsi="Tahoma" w:cs="Tahoma"/>
          <w:color w:val="333333"/>
          <w:sz w:val="21"/>
          <w:szCs w:val="21"/>
        </w:rPr>
      </w:pPr>
      <w:r>
        <w:rPr>
          <w:rFonts w:hint="eastAsia" w:ascii="微软雅黑" w:hAnsi="微软雅黑" w:eastAsia="微软雅黑" w:cs="Tahoma"/>
          <w:color w:val="333333"/>
          <w:sz w:val="27"/>
          <w:szCs w:val="27"/>
        </w:rPr>
        <w:br w:type="textWrapping"/>
      </w:r>
    </w:p>
    <w:p>
      <w:pPr>
        <w:pStyle w:val="5"/>
        <w:shd w:val="clear" w:color="auto" w:fill="FFFFFF"/>
        <w:adjustRightInd w:val="0"/>
        <w:snapToGrid w:val="0"/>
        <w:spacing w:before="0" w:beforeAutospacing="0" w:after="0" w:afterAutospacing="0" w:line="360" w:lineRule="auto"/>
        <w:jc w:val="right"/>
        <w:rPr>
          <w:rFonts w:ascii="Tahoma" w:hAnsi="Tahoma" w:cs="Tahoma"/>
          <w:color w:val="333333"/>
          <w:sz w:val="21"/>
          <w:szCs w:val="21"/>
        </w:rPr>
      </w:pPr>
      <w:r>
        <w:rPr>
          <w:rFonts w:hint="eastAsia" w:cs="Tahoma"/>
          <w:color w:val="333333"/>
          <w:sz w:val="27"/>
          <w:szCs w:val="27"/>
        </w:rPr>
        <w:t>南京医科大学儿科学院</w:t>
      </w:r>
    </w:p>
    <w:p>
      <w:pPr>
        <w:pStyle w:val="5"/>
        <w:shd w:val="clear" w:color="auto" w:fill="FFFFFF"/>
        <w:adjustRightInd w:val="0"/>
        <w:snapToGrid w:val="0"/>
        <w:spacing w:before="0" w:beforeAutospacing="0" w:after="0" w:afterAutospacing="0" w:line="360" w:lineRule="auto"/>
        <w:jc w:val="right"/>
        <w:rPr>
          <w:rFonts w:ascii="Tahoma" w:hAnsi="Tahoma" w:cs="Tahoma"/>
          <w:color w:val="333333"/>
          <w:sz w:val="21"/>
          <w:szCs w:val="21"/>
        </w:rPr>
      </w:pPr>
      <w:r>
        <w:rPr>
          <w:rFonts w:hint="eastAsia" w:cs="Tahoma"/>
          <w:color w:val="333333"/>
          <w:sz w:val="27"/>
          <w:szCs w:val="27"/>
        </w:rPr>
        <w:t>20</w:t>
      </w:r>
      <w:r>
        <w:rPr>
          <w:rFonts w:hint="eastAsia" w:cs="Tahoma"/>
          <w:color w:val="333333"/>
          <w:sz w:val="27"/>
          <w:szCs w:val="27"/>
          <w:lang w:val="en-US" w:eastAsia="zh-CN"/>
        </w:rPr>
        <w:t>20</w:t>
      </w:r>
      <w:r>
        <w:rPr>
          <w:rFonts w:hint="eastAsia" w:cs="Tahoma"/>
          <w:color w:val="333333"/>
          <w:sz w:val="27"/>
          <w:szCs w:val="27"/>
        </w:rPr>
        <w:t>年11月2</w:t>
      </w:r>
      <w:r>
        <w:rPr>
          <w:rFonts w:hint="eastAsia" w:cs="Tahoma"/>
          <w:color w:val="333333"/>
          <w:sz w:val="27"/>
          <w:szCs w:val="27"/>
          <w:lang w:val="en-US" w:eastAsia="zh-CN"/>
        </w:rPr>
        <w:t>7</w:t>
      </w:r>
      <w:r>
        <w:rPr>
          <w:rFonts w:hint="eastAsia" w:cs="Tahoma"/>
          <w:color w:val="333333"/>
          <w:sz w:val="27"/>
          <w:szCs w:val="27"/>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3B2"/>
    <w:rsid w:val="004C73B2"/>
    <w:rsid w:val="00636EBE"/>
    <w:rsid w:val="006732F1"/>
    <w:rsid w:val="00D2272F"/>
    <w:rsid w:val="07B67746"/>
    <w:rsid w:val="12A77F01"/>
    <w:rsid w:val="3EBF1439"/>
    <w:rsid w:val="49492BA3"/>
    <w:rsid w:val="775E59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391</Words>
  <Characters>2232</Characters>
  <Lines>18</Lines>
  <Paragraphs>5</Paragraphs>
  <TotalTime>14</TotalTime>
  <ScaleCrop>false</ScaleCrop>
  <LinksUpToDate>false</LinksUpToDate>
  <CharactersWithSpaces>2618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2019-11-27T05:46:00Z</dcterms:created>
  <dc:creator>DELL</dc:creator>
  <cp:lastModifiedBy>扁豆</cp:lastModifiedBy>
  <dcterms:modified xsi:type="dcterms:W3CDTF">2020-11-30T02:56:21Z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