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南京医科大学附属逸夫医院</w:t>
      </w:r>
    </w:p>
    <w:p>
      <w:pPr>
        <w:spacing w:line="360" w:lineRule="auto"/>
        <w:jc w:val="center"/>
        <w:rPr>
          <w:rFonts w:ascii="华文中宋" w:hAnsi="华文中宋" w:eastAsia="华文中宋" w:cs="华文中宋"/>
          <w:color w:val="auto"/>
          <w:sz w:val="32"/>
          <w:szCs w:val="32"/>
        </w:rPr>
      </w:pPr>
      <w:r>
        <w:rPr>
          <w:rFonts w:hint="eastAsia" w:ascii="华文中宋" w:hAnsi="华文中宋" w:eastAsia="华文中宋" w:cs="华文中宋"/>
          <w:color w:val="auto"/>
          <w:sz w:val="32"/>
          <w:szCs w:val="32"/>
        </w:rPr>
        <w:t>2024年博士研究生招生“申请-考核”制实施细则</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根据《南京医科大学博士研究生招生“申请-考核”制实施办法》要求，为有效选拔高质量人才，规范学院博士研究生“申请-考核制”招生选拔程序，特制订本细则。</w:t>
      </w:r>
    </w:p>
    <w:p>
      <w:pPr>
        <w:spacing w:line="5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一、组织管理</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根据要求成立我院研究生招生工作领导小组</w:t>
      </w:r>
      <w:r>
        <w:rPr>
          <w:rFonts w:hint="eastAsia"/>
          <w:color w:val="auto"/>
        </w:rPr>
        <w:t>，</w:t>
      </w:r>
      <w:r>
        <w:rPr>
          <w:rFonts w:hint="eastAsia" w:ascii="仿宋" w:hAnsi="仿宋" w:eastAsia="仿宋"/>
          <w:color w:val="auto"/>
          <w:sz w:val="28"/>
          <w:szCs w:val="28"/>
        </w:rPr>
        <w:t>小组成员由研究生导师组成。</w:t>
      </w:r>
    </w:p>
    <w:p>
      <w:pPr>
        <w:spacing w:line="5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二、工作流程</w:t>
      </w:r>
    </w:p>
    <w:p>
      <w:pPr>
        <w:spacing w:line="5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（一）网报及材料提交</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网上报名时间：</w:t>
      </w:r>
      <w:r>
        <w:rPr>
          <w:rFonts w:hint="eastAsia" w:ascii="仿宋" w:hAnsi="仿宋" w:eastAsia="仿宋"/>
          <w:b/>
          <w:color w:val="auto"/>
          <w:sz w:val="28"/>
          <w:szCs w:val="28"/>
        </w:rPr>
        <w:t xml:space="preserve"> 2023年12月5日～12月18日16:00</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考生所提交材料包括：</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1、《报考登记表》一份（网报后打印）；</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2、本人有效身份证和学生证（应届生须提供）复印件各一份；</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w:t>
      </w:r>
      <w:r>
        <w:rPr>
          <w:rFonts w:hint="eastAsia" w:ascii="仿宋" w:hAnsi="仿宋" w:eastAsia="仿宋"/>
          <w:b/>
          <w:bCs/>
          <w:color w:val="auto"/>
          <w:sz w:val="28"/>
          <w:szCs w:val="28"/>
        </w:rPr>
        <w:t>科研设计</w:t>
      </w:r>
      <w:r>
        <w:rPr>
          <w:rFonts w:hint="eastAsia" w:ascii="仿宋" w:hAnsi="仿宋" w:eastAsia="仿宋"/>
          <w:color w:val="auto"/>
          <w:sz w:val="28"/>
          <w:szCs w:val="28"/>
        </w:rPr>
        <w:t>：根据对拟报考学科专业或导师研究方向的认识，初步拟定研究计划，并撰写科研计划书，3000字左右；</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4、应届生须提供“教育部学籍在线验证报告”（有效验证期内）;往届生须提供“教育部学历证书电子注册备案表”或“教育部学历认证报告”原件；</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5、本科（如有）及硕士阶段成绩单一份（须加盖所在学校学习成绩管理部门公章）；</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6、英语水平证明材料（如 CET-6、TOEFL、IELTS 等的证书复印件或成绩单）；</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7、硕士学位论文（应届生提供硕士学位论文简介及研究进展）</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8、《思想政治情况表》（思想政治情况表须由考生学习、工作或档案所在单位填写本表，并签字、盖章后，由考生报名系统上传；应届考生由学习所在单位出具考核意见，其他考生由工作所在单位或人事档案托管单位出具考核意见）</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9、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往届生还须提供执业医师资格证、医师执业证书、住院医师规范化培训合格证书（一阶段）复印件各一份；</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10、申请学科专业领域内两位教授（或相当专业技术职称的专家）的书面推荐意见；</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11、定向培养硕士须提供原单位同意其参加“申请-考核”制博士生报考书面意见（加盖单位人事部门公章）；</w:t>
      </w:r>
    </w:p>
    <w:p>
      <w:pPr>
        <w:spacing w:line="560" w:lineRule="exact"/>
        <w:ind w:firstLine="562" w:firstLineChars="200"/>
        <w:rPr>
          <w:rFonts w:ascii="仿宋" w:hAnsi="仿宋" w:eastAsia="仿宋"/>
          <w:color w:val="auto"/>
          <w:sz w:val="28"/>
          <w:szCs w:val="28"/>
        </w:rPr>
      </w:pPr>
      <w:r>
        <w:rPr>
          <w:rFonts w:hint="eastAsia" w:ascii="仿宋" w:hAnsi="仿宋" w:eastAsia="仿宋"/>
          <w:b/>
          <w:bCs/>
          <w:color w:val="auto"/>
          <w:sz w:val="28"/>
          <w:szCs w:val="28"/>
        </w:rPr>
        <w:t>以上1-11所提到的材料均需扫描，并按照顺序合成一个PDF1文档（命名方式：必需材料+考生报名号+姓名）</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12、其他附加材料：</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（1）已取得的科研成果（含专利、公开发表的学术性论文、专著等）复印件（如有）；</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（2）获奖证书或其他可以证明考生科研能力和水平的证明材料（如有）；</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（3）学院要求的其他材料（如有）。</w:t>
      </w:r>
    </w:p>
    <w:p>
      <w:pPr>
        <w:spacing w:line="5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12所提到的材料（如有）需扫描，并按照顺序合成一个PDF2文档（命名方式：附加材料+考生报名号+姓名）</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注：</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1、《报考登记表》和《专家推荐信》原件由考生妥善保管，入学后由我院教育教学办公室收齐后统一提交研招办。</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2、所有考生需于12月19日前完成心理测试及职业胜任力综合测评，未完成测试的考生不得参加考核。</w:t>
      </w:r>
    </w:p>
    <w:p>
      <w:pPr>
        <w:spacing w:line="560" w:lineRule="exact"/>
        <w:ind w:firstLine="562" w:firstLineChars="200"/>
        <w:rPr>
          <w:rFonts w:ascii="仿宋" w:hAnsi="仿宋" w:eastAsia="仿宋"/>
          <w:b/>
          <w:color w:val="auto"/>
          <w:sz w:val="28"/>
          <w:szCs w:val="28"/>
        </w:rPr>
      </w:pPr>
      <w:r>
        <w:rPr>
          <w:rFonts w:hint="eastAsia" w:ascii="仿宋" w:hAnsi="仿宋" w:eastAsia="仿宋"/>
          <w:b/>
          <w:color w:val="auto"/>
          <w:sz w:val="28"/>
          <w:szCs w:val="28"/>
        </w:rPr>
        <w:t>（二）资格初审（12月20日前）</w:t>
      </w:r>
    </w:p>
    <w:p>
      <w:pPr>
        <w:spacing w:line="560" w:lineRule="exact"/>
        <w:ind w:firstLine="560" w:firstLineChars="200"/>
        <w:rPr>
          <w:rFonts w:ascii="仿宋" w:hAnsi="仿宋" w:eastAsia="仿宋"/>
          <w:b/>
          <w:color w:val="auto"/>
          <w:sz w:val="28"/>
          <w:szCs w:val="28"/>
        </w:rPr>
      </w:pPr>
      <w:r>
        <w:rPr>
          <w:rFonts w:hint="eastAsia" w:ascii="仿宋" w:hAnsi="仿宋" w:eastAsia="仿宋"/>
          <w:color w:val="auto"/>
          <w:sz w:val="28"/>
          <w:szCs w:val="28"/>
        </w:rPr>
        <w:t>学院将根据申请者所提交的材料，对其报考资格进行初审。全日制专业学位博士研究生住培专业和报考专业对应要求请对照南京医科大学2024年全日制博士研究生招生简章及招生专业目录</w:t>
      </w:r>
      <w:r>
        <w:rPr>
          <w:rFonts w:ascii="仿宋" w:hAnsi="仿宋" w:eastAsia="仿宋"/>
          <w:color w:val="auto"/>
          <w:sz w:val="28"/>
          <w:szCs w:val="28"/>
        </w:rPr>
        <w:t>https://yjszs.njmu.edu.cn/2023/1025/c10189a246686/page.htm</w:t>
      </w:r>
      <w:r>
        <w:rPr>
          <w:rFonts w:hint="eastAsia" w:ascii="仿宋" w:hAnsi="仿宋" w:eastAsia="仿宋"/>
          <w:color w:val="auto"/>
          <w:sz w:val="28"/>
          <w:szCs w:val="28"/>
        </w:rPr>
        <w:t>中的附件 1-《南京医科大学临床医学博士专业学位招生专业报考对应住院医师规培专业要求》。</w:t>
      </w:r>
    </w:p>
    <w:p>
      <w:pPr>
        <w:spacing w:line="560" w:lineRule="exact"/>
        <w:ind w:firstLine="562" w:firstLineChars="200"/>
        <w:rPr>
          <w:rFonts w:ascii="仿宋" w:hAnsi="仿宋" w:eastAsia="仿宋"/>
          <w:b/>
          <w:color w:val="auto"/>
          <w:sz w:val="28"/>
          <w:szCs w:val="28"/>
        </w:rPr>
      </w:pPr>
      <w:r>
        <w:rPr>
          <w:rFonts w:hint="eastAsia" w:ascii="仿宋" w:hAnsi="仿宋" w:eastAsia="仿宋"/>
          <w:b/>
          <w:color w:val="auto"/>
          <w:sz w:val="28"/>
          <w:szCs w:val="28"/>
        </w:rPr>
        <w:t>（三）资格审查：2023年12月27日前</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1）导师评审</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导师对通过资格初审的所有申请者材料进行评审，全面考查考生一贯学业和科研实践表现，做出综合评价，给出百分制成绩。成绩不合格者（小于</w:t>
      </w:r>
      <w:r>
        <w:rPr>
          <w:rFonts w:ascii="仿宋" w:hAnsi="仿宋" w:eastAsia="仿宋"/>
          <w:color w:val="auto"/>
          <w:sz w:val="28"/>
          <w:szCs w:val="28"/>
        </w:rPr>
        <w:t>60</w:t>
      </w:r>
      <w:r>
        <w:rPr>
          <w:rFonts w:hint="eastAsia" w:ascii="仿宋" w:hAnsi="仿宋" w:eastAsia="仿宋"/>
          <w:color w:val="auto"/>
          <w:sz w:val="28"/>
          <w:szCs w:val="28"/>
        </w:rPr>
        <w:t>分）不予进入综合考核。</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2）专家评审</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学院成立“评审专家组”对通过资格初审的所有申请者材料进行评审。每份申请材料至少由</w:t>
      </w:r>
      <w:r>
        <w:rPr>
          <w:rFonts w:ascii="仿宋" w:hAnsi="仿宋" w:eastAsia="仿宋"/>
          <w:color w:val="auto"/>
          <w:sz w:val="28"/>
          <w:szCs w:val="28"/>
        </w:rPr>
        <w:t>3</w:t>
      </w:r>
      <w:r>
        <w:rPr>
          <w:rFonts w:hint="eastAsia" w:ascii="仿宋" w:hAnsi="仿宋" w:eastAsia="仿宋"/>
          <w:color w:val="auto"/>
          <w:sz w:val="28"/>
          <w:szCs w:val="28"/>
        </w:rPr>
        <w:t>位专家逐一审核（注：不含报考导师），分别评分（满分</w:t>
      </w:r>
      <w:r>
        <w:rPr>
          <w:rFonts w:ascii="仿宋" w:hAnsi="仿宋" w:eastAsia="仿宋"/>
          <w:color w:val="auto"/>
          <w:sz w:val="28"/>
          <w:szCs w:val="28"/>
        </w:rPr>
        <w:t>100</w:t>
      </w:r>
      <w:r>
        <w:rPr>
          <w:rFonts w:hint="eastAsia" w:ascii="仿宋" w:hAnsi="仿宋" w:eastAsia="仿宋"/>
          <w:color w:val="auto"/>
          <w:sz w:val="28"/>
          <w:szCs w:val="28"/>
        </w:rPr>
        <w:t>分，包含：学术背景20分、学习成绩和外语水平20分、学术成果40分和综合素质20分），取平均分。平均成绩不合格者（小于</w:t>
      </w:r>
      <w:r>
        <w:rPr>
          <w:rFonts w:ascii="仿宋" w:hAnsi="仿宋" w:eastAsia="仿宋"/>
          <w:color w:val="auto"/>
          <w:sz w:val="28"/>
          <w:szCs w:val="28"/>
        </w:rPr>
        <w:t>60</w:t>
      </w:r>
      <w:r>
        <w:rPr>
          <w:rFonts w:hint="eastAsia" w:ascii="仿宋" w:hAnsi="仿宋" w:eastAsia="仿宋"/>
          <w:color w:val="auto"/>
          <w:sz w:val="28"/>
          <w:szCs w:val="28"/>
        </w:rPr>
        <w:t>分）不予进入综合考核。</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导师评审与专家评审成绩均合格者，材料评审成绩（满分</w:t>
      </w:r>
      <w:r>
        <w:rPr>
          <w:rFonts w:ascii="仿宋" w:hAnsi="仿宋" w:eastAsia="仿宋"/>
          <w:color w:val="auto"/>
          <w:sz w:val="28"/>
          <w:szCs w:val="28"/>
        </w:rPr>
        <w:t>100</w:t>
      </w:r>
      <w:r>
        <w:rPr>
          <w:rFonts w:hint="eastAsia" w:ascii="仿宋" w:hAnsi="仿宋" w:eastAsia="仿宋"/>
          <w:color w:val="auto"/>
          <w:sz w:val="28"/>
          <w:szCs w:val="28"/>
        </w:rPr>
        <w:t>分）</w:t>
      </w:r>
      <w:r>
        <w:rPr>
          <w:rFonts w:ascii="仿宋" w:hAnsi="仿宋" w:eastAsia="仿宋"/>
          <w:color w:val="auto"/>
          <w:sz w:val="28"/>
          <w:szCs w:val="28"/>
        </w:rPr>
        <w:t>=</w:t>
      </w:r>
      <w:r>
        <w:rPr>
          <w:rFonts w:hint="eastAsia" w:ascii="仿宋" w:hAnsi="仿宋" w:eastAsia="仿宋"/>
          <w:color w:val="auto"/>
          <w:sz w:val="28"/>
          <w:szCs w:val="28"/>
        </w:rPr>
        <w:t>导师评审成绩</w:t>
      </w:r>
      <w:r>
        <w:rPr>
          <w:rFonts w:ascii="仿宋" w:hAnsi="仿宋" w:eastAsia="仿宋"/>
          <w:color w:val="auto"/>
          <w:sz w:val="28"/>
          <w:szCs w:val="28"/>
        </w:rPr>
        <w:t>*50%+</w:t>
      </w:r>
      <w:r>
        <w:rPr>
          <w:rFonts w:hint="eastAsia" w:ascii="仿宋" w:hAnsi="仿宋" w:eastAsia="仿宋"/>
          <w:color w:val="auto"/>
          <w:sz w:val="28"/>
          <w:szCs w:val="28"/>
        </w:rPr>
        <w:t>专家评审成绩</w:t>
      </w:r>
      <w:r>
        <w:rPr>
          <w:rFonts w:ascii="仿宋" w:hAnsi="仿宋" w:eastAsia="仿宋"/>
          <w:color w:val="auto"/>
          <w:sz w:val="28"/>
          <w:szCs w:val="28"/>
        </w:rPr>
        <w:t>*50%</w:t>
      </w:r>
      <w:r>
        <w:rPr>
          <w:rFonts w:hint="eastAsia" w:ascii="仿宋" w:hAnsi="仿宋" w:eastAsia="仿宋"/>
          <w:color w:val="auto"/>
          <w:sz w:val="28"/>
          <w:szCs w:val="28"/>
        </w:rPr>
        <w:t>。根据材料评审结果，按报考同一导师成绩排名</w:t>
      </w:r>
      <w:r>
        <w:rPr>
          <w:rFonts w:ascii="仿宋" w:hAnsi="仿宋" w:eastAsia="仿宋"/>
          <w:color w:val="auto"/>
          <w:sz w:val="28"/>
          <w:szCs w:val="28"/>
        </w:rPr>
        <w:t xml:space="preserve">1:3 </w:t>
      </w:r>
      <w:r>
        <w:rPr>
          <w:rFonts w:hint="eastAsia" w:ascii="仿宋" w:hAnsi="仿宋" w:eastAsia="仿宋"/>
          <w:color w:val="auto"/>
          <w:sz w:val="28"/>
          <w:szCs w:val="28"/>
        </w:rPr>
        <w:t>比例确定入围综合考核的申请者名单，并经学院研究生招生工作领导小组批准后公示：</w:t>
      </w:r>
      <w:r>
        <w:rPr>
          <w:rFonts w:ascii="仿宋" w:hAnsi="仿宋" w:eastAsia="仿宋"/>
          <w:color w:val="auto"/>
          <w:sz w:val="28"/>
          <w:szCs w:val="28"/>
        </w:rPr>
        <w:t>http://www.nydsrrsh.com/kxjy/kxjy.aspx?mtt=3&amp;mt=66</w:t>
      </w:r>
      <w:r>
        <w:rPr>
          <w:rFonts w:hint="eastAsia" w:ascii="仿宋" w:hAnsi="仿宋" w:eastAsia="仿宋"/>
          <w:color w:val="auto"/>
          <w:sz w:val="28"/>
          <w:szCs w:val="28"/>
        </w:rPr>
        <w:t>。</w:t>
      </w:r>
    </w:p>
    <w:p>
      <w:pPr>
        <w:spacing w:line="5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（四）线下综合考核：2024年1月6日前</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1、专业外语和专业课综合笔试（满分100分）</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（1）时间：20</w:t>
      </w:r>
      <w:r>
        <w:rPr>
          <w:rFonts w:ascii="仿宋" w:hAnsi="仿宋" w:eastAsia="仿宋"/>
          <w:color w:val="auto"/>
          <w:sz w:val="28"/>
          <w:szCs w:val="28"/>
        </w:rPr>
        <w:t>2</w:t>
      </w:r>
      <w:r>
        <w:rPr>
          <w:rFonts w:hint="eastAsia" w:ascii="仿宋" w:hAnsi="仿宋" w:eastAsia="仿宋"/>
          <w:color w:val="auto"/>
          <w:sz w:val="28"/>
          <w:szCs w:val="28"/>
        </w:rPr>
        <w:t>4年1月3日8:30，</w:t>
      </w:r>
      <w:r>
        <w:rPr>
          <w:rFonts w:hint="eastAsia" w:ascii="仿宋" w:hAnsi="仿宋" w:eastAsia="仿宋"/>
          <w:color w:val="auto"/>
          <w:sz w:val="28"/>
          <w:szCs w:val="28"/>
        </w:rPr>
        <w:t>地点另行以电话或短信通知。</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（2）形式：闭卷</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（3）内容：各5</w:t>
      </w:r>
      <w:r>
        <w:rPr>
          <w:rFonts w:ascii="仿宋" w:hAnsi="仿宋" w:eastAsia="仿宋"/>
          <w:color w:val="auto"/>
          <w:sz w:val="28"/>
          <w:szCs w:val="28"/>
        </w:rPr>
        <w:t>0</w:t>
      </w:r>
      <w:r>
        <w:rPr>
          <w:rFonts w:hint="eastAsia" w:ascii="仿宋" w:hAnsi="仿宋" w:eastAsia="仿宋"/>
          <w:color w:val="auto"/>
          <w:sz w:val="28"/>
          <w:szCs w:val="28"/>
        </w:rPr>
        <w:t>分，共计满分100分。①专业外语测试（占50%）：主要考核考生阅读和翻译外文文献的水平；②专业课测试（占50%）：主要考核考生基础理论、专业知识掌握程度，将根据各学科及导师专业方向确定考试范围。</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2、综合能力考核（满分100分）</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内容包含：科研思维与科研设计能力考核、实验/操作技能考核。综</w:t>
      </w:r>
      <w:r>
        <w:rPr>
          <w:rFonts w:hint="eastAsia" w:ascii="仿宋" w:hAnsi="仿宋" w:eastAsia="仿宋"/>
          <w:color w:val="auto"/>
          <w:sz w:val="28"/>
          <w:szCs w:val="28"/>
        </w:rPr>
        <w:t>合能力考核合格线：60分。综合能力考核不合格者，不予录取。</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（1）科研思维与科研设计能力考核（满分60分）</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根据考生报名时提交的科研设计进行综合评定。</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（2）实验/操作技能考核（满分40分）：</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①时间：20</w:t>
      </w:r>
      <w:r>
        <w:rPr>
          <w:rFonts w:ascii="仿宋" w:hAnsi="仿宋" w:eastAsia="仿宋"/>
          <w:color w:val="auto"/>
          <w:sz w:val="28"/>
          <w:szCs w:val="28"/>
        </w:rPr>
        <w:t>2</w:t>
      </w:r>
      <w:r>
        <w:rPr>
          <w:rFonts w:hint="eastAsia" w:ascii="仿宋" w:hAnsi="仿宋" w:eastAsia="仿宋"/>
          <w:color w:val="auto"/>
          <w:sz w:val="28"/>
          <w:szCs w:val="28"/>
        </w:rPr>
        <w:t>4年1月3日10:30，地点另行</w:t>
      </w:r>
      <w:r>
        <w:rPr>
          <w:rFonts w:hint="eastAsia" w:ascii="仿宋" w:hAnsi="仿宋" w:eastAsia="仿宋"/>
          <w:color w:val="auto"/>
          <w:sz w:val="28"/>
          <w:szCs w:val="28"/>
        </w:rPr>
        <w:t>通知。</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②内容：全日制学术学位博士报考者考核内容为基础实验技能操作，导师根据自己的专业方向设置实践操作考核内容。全日制专业学位博士报考者考核内容为临床技能考核。导师根据自己的专业方向设置临床技能考核内容。</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3、综合答辩（满分100分）</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（1）时间：2024年1月5日，具体时间、地点</w:t>
      </w:r>
      <w:r>
        <w:rPr>
          <w:rFonts w:hint="eastAsia" w:ascii="仿宋" w:hAnsi="仿宋" w:eastAsia="仿宋"/>
          <w:color w:val="auto"/>
          <w:sz w:val="28"/>
          <w:szCs w:val="28"/>
        </w:rPr>
        <w:t>另行以电话或短信通知</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（2）形式：综合答辩要求考生基于完成的科研设计以</w:t>
      </w:r>
      <w:r>
        <w:rPr>
          <w:rFonts w:ascii="仿宋" w:hAnsi="仿宋" w:eastAsia="仿宋"/>
          <w:color w:val="auto"/>
          <w:sz w:val="28"/>
          <w:szCs w:val="28"/>
        </w:rPr>
        <w:t>PPT</w:t>
      </w:r>
      <w:r>
        <w:rPr>
          <w:rFonts w:hint="eastAsia" w:ascii="仿宋" w:hAnsi="仿宋" w:eastAsia="仿宋"/>
          <w:color w:val="auto"/>
          <w:sz w:val="28"/>
          <w:szCs w:val="28"/>
        </w:rPr>
        <w:t>形式进行汇报。综合答辩专家小组对考生逐一考核（一般不少于5位副教授及以上职称专家，其中至少3名为博士生导师），设1名考核秘书。一般每人不少于20分钟。报考同一导师的考生由同一综合答辩专家小组进行考核。</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（3）内容：基于考生完成的科研设计等材料，对考生综合能力进一步考核，提出专业问题，要求考生现场作答，考核考生综合运用所学知识的能力、创新能力、科研潜质、外国语应用能力等。</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（4）综合答辩全程录音录像，学院留存备查。</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4、成绩计算</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计算综合考核成绩，综合考核总成绩=综合笔试成绩×30%+综合能力考核成绩×20%+综合答辩成绩×50%。</w:t>
      </w:r>
    </w:p>
    <w:p>
      <w:pPr>
        <w:spacing w:line="560" w:lineRule="exact"/>
        <w:ind w:firstLine="562" w:firstLineChars="200"/>
        <w:rPr>
          <w:rFonts w:ascii="仿宋" w:hAnsi="仿宋" w:eastAsia="仿宋"/>
          <w:b/>
          <w:bCs/>
          <w:color w:val="auto"/>
          <w:sz w:val="28"/>
          <w:szCs w:val="28"/>
        </w:rPr>
      </w:pPr>
      <w:r>
        <w:rPr>
          <w:rFonts w:hint="eastAsia" w:ascii="仿宋" w:hAnsi="仿宋" w:eastAsia="仿宋"/>
          <w:b/>
          <w:bCs/>
          <w:color w:val="auto"/>
          <w:sz w:val="28"/>
          <w:szCs w:val="28"/>
        </w:rPr>
        <w:t>（五）录取工作</w:t>
      </w:r>
    </w:p>
    <w:p>
      <w:pPr>
        <w:pStyle w:val="5"/>
        <w:shd w:val="clear" w:color="auto" w:fill="FFFFFF"/>
        <w:spacing w:before="0" w:beforeAutospacing="0" w:after="0" w:afterAutospacing="0"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1、录取成绩(满分100分)=材料评审成绩*30%+综合考核总成绩*70%。学院将按照“择优录取、保证质量、宁缺毋滥”的原则进行录取工作，录取成绩不合格（小于</w:t>
      </w:r>
      <w:r>
        <w:rPr>
          <w:rFonts w:ascii="仿宋" w:hAnsi="仿宋" w:eastAsia="仿宋" w:cs="仿宋"/>
          <w:color w:val="auto"/>
          <w:sz w:val="28"/>
          <w:szCs w:val="28"/>
        </w:rPr>
        <w:t>60</w:t>
      </w:r>
      <w:r>
        <w:rPr>
          <w:rFonts w:hint="eastAsia" w:ascii="仿宋" w:hAnsi="仿宋" w:eastAsia="仿宋" w:cs="仿宋"/>
          <w:color w:val="auto"/>
          <w:sz w:val="28"/>
          <w:szCs w:val="28"/>
        </w:rPr>
        <w:t>分）不予录取。</w:t>
      </w:r>
      <w:r>
        <w:rPr>
          <w:rFonts w:hint="eastAsia" w:ascii="仿宋" w:hAnsi="仿宋" w:eastAsia="仿宋" w:cs="仿宋"/>
          <w:color w:val="auto"/>
          <w:sz w:val="28"/>
          <w:szCs w:val="28"/>
        </w:rPr>
        <w:t>对于思想品德考核不合格者不予录取。</w:t>
      </w:r>
    </w:p>
    <w:p>
      <w:pPr>
        <w:pStyle w:val="5"/>
        <w:shd w:val="clear" w:color="auto" w:fill="FFFFFF"/>
        <w:spacing w:before="0" w:beforeAutospacing="0" w:after="0" w:afterAutospacing="0" w:line="560" w:lineRule="exact"/>
        <w:ind w:firstLine="560" w:firstLineChars="200"/>
        <w:rPr>
          <w:rFonts w:ascii="仿宋" w:hAnsi="仿宋" w:eastAsia="仿宋" w:cs="Arial"/>
          <w:color w:val="auto"/>
          <w:sz w:val="28"/>
          <w:szCs w:val="28"/>
        </w:rPr>
      </w:pPr>
      <w:r>
        <w:rPr>
          <w:rFonts w:hint="eastAsia" w:ascii="仿宋" w:hAnsi="仿宋" w:eastAsia="仿宋" w:cs="仿宋"/>
          <w:color w:val="auto"/>
          <w:sz w:val="28"/>
          <w:szCs w:val="28"/>
        </w:rPr>
        <w:t>2、学院将根据考生的综合考核总成绩情况，并经研究生招生工作领导小组审议确定拟录取名单，在本学院网站主页公示</w:t>
      </w:r>
      <w:r>
        <w:rPr>
          <w:rFonts w:hint="eastAsia" w:ascii="仿宋" w:hAnsi="仿宋" w:eastAsia="仿宋" w:cs="Arial"/>
          <w:color w:val="auto"/>
          <w:sz w:val="28"/>
          <w:szCs w:val="28"/>
        </w:rPr>
        <w:t>申请人科研学术情况、综合考核各项成绩等情况，公示时间不少于10天，网址：</w:t>
      </w:r>
      <w:r>
        <w:rPr>
          <w:rFonts w:ascii="仿宋" w:hAnsi="仿宋" w:eastAsia="仿宋"/>
          <w:color w:val="auto"/>
          <w:sz w:val="28"/>
          <w:szCs w:val="28"/>
        </w:rPr>
        <w:t>http://www.nydsrrsh.com/kxjy/kxjy.aspx?mtt=3&amp;mt=66</w:t>
      </w:r>
      <w:r>
        <w:rPr>
          <w:rFonts w:hint="eastAsia" w:ascii="仿宋" w:hAnsi="仿宋" w:eastAsia="仿宋" w:cs="Arial"/>
          <w:color w:val="auto"/>
          <w:sz w:val="28"/>
          <w:szCs w:val="28"/>
        </w:rPr>
        <w:t>。公示过后将上报研究生院审批。考生对公示情况有异议可</w:t>
      </w:r>
      <w:r>
        <w:rPr>
          <w:rFonts w:hint="eastAsia" w:ascii="仿宋" w:hAnsi="仿宋" w:eastAsia="仿宋"/>
          <w:color w:val="auto"/>
          <w:sz w:val="28"/>
          <w:szCs w:val="28"/>
          <w:shd w:val="clear" w:color="auto" w:fill="FFFFFF"/>
        </w:rPr>
        <w:t>在公示期间</w:t>
      </w:r>
      <w:r>
        <w:rPr>
          <w:rFonts w:hint="eastAsia" w:ascii="仿宋" w:hAnsi="仿宋" w:eastAsia="仿宋" w:cs="Arial"/>
          <w:color w:val="auto"/>
          <w:sz w:val="28"/>
          <w:szCs w:val="28"/>
        </w:rPr>
        <w:t>向学院或研究生院提出申诉。</w:t>
      </w:r>
    </w:p>
    <w:p>
      <w:pPr>
        <w:spacing w:line="560" w:lineRule="exact"/>
        <w:ind w:firstLine="562" w:firstLineChars="200"/>
        <w:rPr>
          <w:rFonts w:ascii="仿宋" w:hAnsi="仿宋" w:eastAsia="仿宋"/>
          <w:b/>
          <w:color w:val="auto"/>
          <w:sz w:val="28"/>
          <w:szCs w:val="28"/>
          <w:shd w:val="clear" w:color="auto" w:fill="FFFFFF"/>
        </w:rPr>
      </w:pPr>
      <w:r>
        <w:rPr>
          <w:rFonts w:hint="eastAsia" w:ascii="仿宋" w:hAnsi="仿宋" w:eastAsia="仿宋"/>
          <w:b/>
          <w:color w:val="auto"/>
          <w:sz w:val="28"/>
          <w:szCs w:val="28"/>
          <w:shd w:val="clear" w:color="auto" w:fill="FFFFFF"/>
        </w:rPr>
        <w:t>（六）监督保障机制</w:t>
      </w:r>
    </w:p>
    <w:p>
      <w:pPr>
        <w:pStyle w:val="5"/>
        <w:shd w:val="clear" w:color="auto" w:fill="FFFFFF"/>
        <w:spacing w:before="0" w:beforeAutospacing="0" w:after="0" w:afterAutospacing="0"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1、学校、学院成立两级博士研究生招生监察小组，对</w:t>
      </w:r>
      <w:r>
        <w:rPr>
          <w:rFonts w:ascii="仿宋" w:hAnsi="仿宋" w:eastAsia="仿宋" w:cs="仿宋"/>
          <w:color w:val="auto"/>
          <w:sz w:val="28"/>
          <w:szCs w:val="28"/>
        </w:rPr>
        <w:t>“</w:t>
      </w:r>
      <w:r>
        <w:rPr>
          <w:rFonts w:hint="eastAsia" w:ascii="仿宋" w:hAnsi="仿宋" w:eastAsia="仿宋" w:cs="仿宋"/>
          <w:color w:val="auto"/>
          <w:sz w:val="28"/>
          <w:szCs w:val="28"/>
        </w:rPr>
        <w:t>申请</w:t>
      </w:r>
      <w:r>
        <w:rPr>
          <w:rFonts w:ascii="仿宋" w:hAnsi="仿宋" w:eastAsia="仿宋" w:cs="仿宋"/>
          <w:color w:val="auto"/>
          <w:sz w:val="28"/>
          <w:szCs w:val="28"/>
        </w:rPr>
        <w:t>-</w:t>
      </w:r>
      <w:r>
        <w:rPr>
          <w:rFonts w:hint="eastAsia" w:ascii="仿宋" w:hAnsi="仿宋" w:eastAsia="仿宋" w:cs="仿宋"/>
          <w:color w:val="auto"/>
          <w:sz w:val="28"/>
          <w:szCs w:val="28"/>
        </w:rPr>
        <w:t>考核</w:t>
      </w:r>
      <w:r>
        <w:rPr>
          <w:rFonts w:ascii="仿宋" w:hAnsi="仿宋" w:eastAsia="仿宋" w:cs="仿宋"/>
          <w:color w:val="auto"/>
          <w:sz w:val="28"/>
          <w:szCs w:val="28"/>
        </w:rPr>
        <w:t>”</w:t>
      </w:r>
      <w:r>
        <w:rPr>
          <w:rFonts w:hint="eastAsia" w:ascii="仿宋" w:hAnsi="仿宋" w:eastAsia="仿宋" w:cs="仿宋"/>
          <w:color w:val="auto"/>
          <w:sz w:val="28"/>
          <w:szCs w:val="28"/>
        </w:rPr>
        <w:t>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w:t>
      </w:r>
    </w:p>
    <w:p>
      <w:pPr>
        <w:pStyle w:val="5"/>
        <w:shd w:val="clear" w:color="auto" w:fill="FFFFFF"/>
        <w:spacing w:before="0" w:beforeAutospacing="0" w:after="0" w:afterAutospacing="0"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2、凡对录取结果持有异议的考生或导师，可在公示期间进行申诉。申诉人向学院研究生招生工作领导小组提交书面申诉书及有关证明材料，学院将及时处理并将复议结果告知申诉人，有关材料存档备案；如对院级处理结果不服，可在院级处理结果下达后</w:t>
      </w:r>
      <w:r>
        <w:rPr>
          <w:rFonts w:ascii="仿宋" w:hAnsi="仿宋" w:eastAsia="仿宋" w:cs="仿宋"/>
          <w:color w:val="auto"/>
          <w:sz w:val="28"/>
          <w:szCs w:val="28"/>
        </w:rPr>
        <w:t>5</w:t>
      </w:r>
      <w:r>
        <w:rPr>
          <w:rFonts w:hint="eastAsia" w:ascii="仿宋" w:hAnsi="仿宋" w:eastAsia="仿宋" w:cs="仿宋"/>
          <w:color w:val="auto"/>
          <w:sz w:val="28"/>
          <w:szCs w:val="28"/>
        </w:rPr>
        <w:t>个工作日内</w:t>
      </w:r>
      <w:bookmarkStart w:id="0" w:name="_GoBack"/>
      <w:bookmarkEnd w:id="0"/>
      <w:r>
        <w:rPr>
          <w:rFonts w:hint="eastAsia" w:ascii="仿宋" w:hAnsi="仿宋" w:eastAsia="仿宋" w:cs="仿宋"/>
          <w:color w:val="auto"/>
          <w:sz w:val="28"/>
          <w:szCs w:val="28"/>
        </w:rPr>
        <w:t>向学校研究生院和纪检监察部门进行申诉。</w:t>
      </w:r>
    </w:p>
    <w:p>
      <w:pPr>
        <w:pStyle w:val="5"/>
        <w:shd w:val="clear" w:color="auto" w:fill="FFFFFF"/>
        <w:spacing w:before="0" w:beforeAutospacing="0" w:after="0" w:afterAutospacing="0" w:line="560" w:lineRule="exac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3、学院招生专用监督电话：025-87115887，监督邮箱：njmuyfkj@163.com。</w:t>
      </w:r>
    </w:p>
    <w:p>
      <w:pPr>
        <w:pStyle w:val="5"/>
        <w:shd w:val="clear" w:color="auto" w:fill="FFFFFF"/>
        <w:spacing w:before="0" w:beforeAutospacing="0" w:after="0" w:afterAutospacing="0" w:line="560" w:lineRule="exact"/>
        <w:ind w:firstLine="562" w:firstLineChars="200"/>
        <w:rPr>
          <w:rFonts w:ascii="仿宋" w:hAnsi="仿宋" w:eastAsia="仿宋" w:cs="仿宋"/>
          <w:b/>
          <w:color w:val="auto"/>
          <w:sz w:val="28"/>
          <w:szCs w:val="28"/>
        </w:rPr>
      </w:pPr>
      <w:r>
        <w:rPr>
          <w:rFonts w:hint="eastAsia" w:ascii="仿宋" w:hAnsi="仿宋" w:eastAsia="仿宋" w:cs="仿宋"/>
          <w:b/>
          <w:color w:val="auto"/>
          <w:sz w:val="28"/>
          <w:szCs w:val="28"/>
        </w:rPr>
        <w:t>（七）其他</w:t>
      </w:r>
    </w:p>
    <w:p>
      <w:pPr>
        <w:pStyle w:val="5"/>
        <w:shd w:val="clear" w:color="auto" w:fill="FFFFFF"/>
        <w:spacing w:before="0" w:beforeAutospacing="0" w:after="0" w:afterAutospacing="0" w:line="560" w:lineRule="exact"/>
        <w:ind w:firstLine="560" w:firstLineChars="200"/>
        <w:rPr>
          <w:rFonts w:ascii="仿宋" w:hAnsi="仿宋" w:eastAsia="仿宋"/>
          <w:color w:val="auto"/>
          <w:sz w:val="28"/>
          <w:szCs w:val="28"/>
        </w:rPr>
      </w:pPr>
      <w:r>
        <w:rPr>
          <w:rFonts w:hint="eastAsia" w:ascii="仿宋" w:hAnsi="仿宋" w:eastAsia="仿宋" w:cs="仿宋"/>
          <w:color w:val="auto"/>
          <w:sz w:val="28"/>
          <w:szCs w:val="28"/>
        </w:rPr>
        <w:t>应届毕业考生入学时未</w:t>
      </w:r>
      <w:r>
        <w:rPr>
          <w:rFonts w:hint="eastAsia" w:ascii="仿宋" w:hAnsi="仿宋" w:eastAsia="仿宋"/>
          <w:color w:val="auto"/>
          <w:sz w:val="28"/>
          <w:szCs w:val="28"/>
          <w:shd w:val="clear" w:color="auto" w:fill="FFFFFF"/>
        </w:rPr>
        <w:t>取得国家承认的相应学位学历证书者，取消其攻读南京医科大学博士学位研究生的资格。</w:t>
      </w:r>
    </w:p>
    <w:p>
      <w:pPr>
        <w:spacing w:line="560" w:lineRule="exact"/>
        <w:ind w:firstLine="560" w:firstLineChars="200"/>
        <w:rPr>
          <w:rFonts w:ascii="仿宋" w:hAnsi="仿宋" w:eastAsia="仿宋"/>
          <w:color w:val="auto"/>
          <w:sz w:val="28"/>
          <w:szCs w:val="28"/>
        </w:rPr>
      </w:pPr>
    </w:p>
    <w:p>
      <w:pPr>
        <w:spacing w:line="560" w:lineRule="exact"/>
        <w:rPr>
          <w:rFonts w:ascii="仿宋" w:hAnsi="仿宋" w:eastAsia="仿宋"/>
          <w:color w:val="auto"/>
          <w:sz w:val="28"/>
          <w:szCs w:val="28"/>
        </w:rPr>
      </w:pPr>
    </w:p>
    <w:p>
      <w:pPr>
        <w:spacing w:line="560" w:lineRule="exact"/>
        <w:ind w:firstLine="560" w:firstLineChars="200"/>
        <w:jc w:val="right"/>
        <w:rPr>
          <w:rFonts w:ascii="仿宋" w:hAnsi="仿宋" w:eastAsia="仿宋"/>
          <w:color w:val="auto"/>
          <w:sz w:val="28"/>
          <w:szCs w:val="28"/>
        </w:rPr>
      </w:pPr>
      <w:r>
        <w:rPr>
          <w:rFonts w:hint="eastAsia" w:ascii="仿宋" w:hAnsi="仿宋" w:eastAsia="仿宋"/>
          <w:color w:val="auto"/>
          <w:sz w:val="28"/>
          <w:szCs w:val="28"/>
        </w:rPr>
        <w:t>南京医科大学附属逸夫医院</w:t>
      </w:r>
    </w:p>
    <w:p>
      <w:pPr>
        <w:spacing w:line="56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20</w:t>
      </w:r>
      <w:r>
        <w:rPr>
          <w:rFonts w:ascii="仿宋" w:hAnsi="仿宋" w:eastAsia="仿宋"/>
          <w:color w:val="auto"/>
          <w:sz w:val="28"/>
          <w:szCs w:val="28"/>
        </w:rPr>
        <w:t>2</w:t>
      </w:r>
      <w:r>
        <w:rPr>
          <w:rFonts w:hint="eastAsia" w:ascii="仿宋" w:hAnsi="仿宋" w:eastAsia="仿宋"/>
          <w:color w:val="auto"/>
          <w:sz w:val="28"/>
          <w:szCs w:val="28"/>
        </w:rPr>
        <w:t>3年12月12日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VmMTMzOWZjZDViOThlMTRhYjc4NTUxNjZmYmZjYjcifQ=="/>
  </w:docVars>
  <w:rsids>
    <w:rsidRoot w:val="1672757B"/>
    <w:rsid w:val="000276E0"/>
    <w:rsid w:val="00031C47"/>
    <w:rsid w:val="000366FC"/>
    <w:rsid w:val="000541A0"/>
    <w:rsid w:val="000667C0"/>
    <w:rsid w:val="00091911"/>
    <w:rsid w:val="000A2FDB"/>
    <w:rsid w:val="000A5FCB"/>
    <w:rsid w:val="000B0E0E"/>
    <w:rsid w:val="000E3531"/>
    <w:rsid w:val="000F3FA8"/>
    <w:rsid w:val="00100DA5"/>
    <w:rsid w:val="0010307D"/>
    <w:rsid w:val="00130B6C"/>
    <w:rsid w:val="00132FFF"/>
    <w:rsid w:val="001371CB"/>
    <w:rsid w:val="001765DF"/>
    <w:rsid w:val="001B1891"/>
    <w:rsid w:val="001E6D7C"/>
    <w:rsid w:val="001F0AED"/>
    <w:rsid w:val="001F2928"/>
    <w:rsid w:val="0022510E"/>
    <w:rsid w:val="00234AD9"/>
    <w:rsid w:val="00244D86"/>
    <w:rsid w:val="00253C8E"/>
    <w:rsid w:val="00271DB6"/>
    <w:rsid w:val="002C1F9B"/>
    <w:rsid w:val="002E3D58"/>
    <w:rsid w:val="003129CA"/>
    <w:rsid w:val="00312E38"/>
    <w:rsid w:val="003611AF"/>
    <w:rsid w:val="00365AB3"/>
    <w:rsid w:val="00373E55"/>
    <w:rsid w:val="00393F96"/>
    <w:rsid w:val="003E220C"/>
    <w:rsid w:val="003F1C45"/>
    <w:rsid w:val="003F1FCB"/>
    <w:rsid w:val="004177FD"/>
    <w:rsid w:val="0043593B"/>
    <w:rsid w:val="004508C6"/>
    <w:rsid w:val="00483D21"/>
    <w:rsid w:val="004A444F"/>
    <w:rsid w:val="004B3D23"/>
    <w:rsid w:val="004B584A"/>
    <w:rsid w:val="004E4A5A"/>
    <w:rsid w:val="004F1DBA"/>
    <w:rsid w:val="004F315E"/>
    <w:rsid w:val="005202BB"/>
    <w:rsid w:val="0052688E"/>
    <w:rsid w:val="00531B18"/>
    <w:rsid w:val="00535E58"/>
    <w:rsid w:val="005474C6"/>
    <w:rsid w:val="00577084"/>
    <w:rsid w:val="00584F3E"/>
    <w:rsid w:val="0058600F"/>
    <w:rsid w:val="00590171"/>
    <w:rsid w:val="00595813"/>
    <w:rsid w:val="005A6376"/>
    <w:rsid w:val="005D338E"/>
    <w:rsid w:val="005E4E9F"/>
    <w:rsid w:val="005F7C1D"/>
    <w:rsid w:val="00614DEF"/>
    <w:rsid w:val="00622490"/>
    <w:rsid w:val="0062542B"/>
    <w:rsid w:val="00644260"/>
    <w:rsid w:val="00644F2F"/>
    <w:rsid w:val="00646233"/>
    <w:rsid w:val="00646BDA"/>
    <w:rsid w:val="0067448D"/>
    <w:rsid w:val="006822B4"/>
    <w:rsid w:val="00690871"/>
    <w:rsid w:val="006D67F8"/>
    <w:rsid w:val="00714011"/>
    <w:rsid w:val="00721116"/>
    <w:rsid w:val="00721236"/>
    <w:rsid w:val="007B7544"/>
    <w:rsid w:val="007B7C73"/>
    <w:rsid w:val="007E0DC0"/>
    <w:rsid w:val="007E2C42"/>
    <w:rsid w:val="007E6BCD"/>
    <w:rsid w:val="007E7D44"/>
    <w:rsid w:val="00830212"/>
    <w:rsid w:val="008307A0"/>
    <w:rsid w:val="00831CC5"/>
    <w:rsid w:val="00833C42"/>
    <w:rsid w:val="008348A3"/>
    <w:rsid w:val="00845D33"/>
    <w:rsid w:val="00851220"/>
    <w:rsid w:val="008652EB"/>
    <w:rsid w:val="008862A6"/>
    <w:rsid w:val="00886C6B"/>
    <w:rsid w:val="008B3B30"/>
    <w:rsid w:val="00902212"/>
    <w:rsid w:val="00903387"/>
    <w:rsid w:val="00922175"/>
    <w:rsid w:val="009335A7"/>
    <w:rsid w:val="00943AC3"/>
    <w:rsid w:val="00946609"/>
    <w:rsid w:val="00946CE1"/>
    <w:rsid w:val="0097616B"/>
    <w:rsid w:val="00976C9F"/>
    <w:rsid w:val="0098100F"/>
    <w:rsid w:val="00991A78"/>
    <w:rsid w:val="00992D8D"/>
    <w:rsid w:val="009A1AE7"/>
    <w:rsid w:val="009A7FC6"/>
    <w:rsid w:val="009B767E"/>
    <w:rsid w:val="00A16BCE"/>
    <w:rsid w:val="00A32B46"/>
    <w:rsid w:val="00A505F6"/>
    <w:rsid w:val="00A612CD"/>
    <w:rsid w:val="00A7483B"/>
    <w:rsid w:val="00A91AEE"/>
    <w:rsid w:val="00AB23A9"/>
    <w:rsid w:val="00AB43F1"/>
    <w:rsid w:val="00AB46E1"/>
    <w:rsid w:val="00AB79A6"/>
    <w:rsid w:val="00AD7224"/>
    <w:rsid w:val="00B036AC"/>
    <w:rsid w:val="00B4471B"/>
    <w:rsid w:val="00B52657"/>
    <w:rsid w:val="00B537CE"/>
    <w:rsid w:val="00B75C1F"/>
    <w:rsid w:val="00BA024D"/>
    <w:rsid w:val="00BA38EE"/>
    <w:rsid w:val="00BA45A8"/>
    <w:rsid w:val="00BA56C4"/>
    <w:rsid w:val="00BC483B"/>
    <w:rsid w:val="00BE0527"/>
    <w:rsid w:val="00C06C9C"/>
    <w:rsid w:val="00C416CC"/>
    <w:rsid w:val="00C448E3"/>
    <w:rsid w:val="00C50666"/>
    <w:rsid w:val="00C63A8C"/>
    <w:rsid w:val="00C92672"/>
    <w:rsid w:val="00CB673C"/>
    <w:rsid w:val="00CE416C"/>
    <w:rsid w:val="00CE7A3C"/>
    <w:rsid w:val="00D17EF6"/>
    <w:rsid w:val="00D45E13"/>
    <w:rsid w:val="00D4797E"/>
    <w:rsid w:val="00D726A4"/>
    <w:rsid w:val="00D820ED"/>
    <w:rsid w:val="00D94984"/>
    <w:rsid w:val="00D9536F"/>
    <w:rsid w:val="00DC7C71"/>
    <w:rsid w:val="00DD2A13"/>
    <w:rsid w:val="00DD2A5A"/>
    <w:rsid w:val="00DD7D90"/>
    <w:rsid w:val="00E92AAB"/>
    <w:rsid w:val="00E96FBE"/>
    <w:rsid w:val="00EC77BC"/>
    <w:rsid w:val="00ED0D87"/>
    <w:rsid w:val="00F0003E"/>
    <w:rsid w:val="00F12BA0"/>
    <w:rsid w:val="00F45360"/>
    <w:rsid w:val="00F60282"/>
    <w:rsid w:val="02554135"/>
    <w:rsid w:val="05052682"/>
    <w:rsid w:val="0A9C0E84"/>
    <w:rsid w:val="0EF145C5"/>
    <w:rsid w:val="11834A66"/>
    <w:rsid w:val="1672757B"/>
    <w:rsid w:val="40427354"/>
    <w:rsid w:val="4CA80411"/>
    <w:rsid w:val="549A3422"/>
    <w:rsid w:val="71DB49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rFonts w:ascii="宋体" w:eastAsia="宋体"/>
      <w:sz w:val="18"/>
      <w:szCs w:val="18"/>
    </w:rPr>
  </w:style>
  <w:style w:type="paragraph" w:styleId="3">
    <w:name w:val="footer"/>
    <w:basedOn w:val="1"/>
    <w:link w:val="12"/>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styleId="8">
    <w:name w:val="Strong"/>
    <w:basedOn w:val="7"/>
    <w:qFormat/>
    <w:uiPriority w:val="22"/>
    <w:rPr>
      <w:b/>
      <w:bCs/>
    </w:rPr>
  </w:style>
  <w:style w:type="character" w:styleId="9">
    <w:name w:val="Hyperlink"/>
    <w:basedOn w:val="7"/>
    <w:unhideWhenUsed/>
    <w:uiPriority w:val="99"/>
    <w:rPr>
      <w:color w:val="0000FF"/>
      <w:u w:val="single"/>
    </w:rPr>
  </w:style>
  <w:style w:type="character" w:customStyle="1" w:styleId="10">
    <w:name w:val="批注框文本 Char"/>
    <w:basedOn w:val="7"/>
    <w:link w:val="2"/>
    <w:qFormat/>
    <w:uiPriority w:val="0"/>
    <w:rPr>
      <w:rFonts w:ascii="宋体" w:eastAsia="宋体"/>
      <w:kern w:val="2"/>
      <w:sz w:val="18"/>
      <w:szCs w:val="18"/>
    </w:rPr>
  </w:style>
  <w:style w:type="character" w:customStyle="1" w:styleId="11">
    <w:name w:val="页眉 Char"/>
    <w:basedOn w:val="7"/>
    <w:link w:val="4"/>
    <w:uiPriority w:val="0"/>
    <w:rPr>
      <w:kern w:val="2"/>
      <w:sz w:val="18"/>
      <w:szCs w:val="18"/>
    </w:rPr>
  </w:style>
  <w:style w:type="character" w:customStyle="1" w:styleId="12">
    <w:name w:val="页脚 Char"/>
    <w:basedOn w:val="7"/>
    <w:link w:val="3"/>
    <w:uiPriority w:val="0"/>
    <w:rPr>
      <w:kern w:val="2"/>
      <w:sz w:val="18"/>
      <w:szCs w:val="18"/>
    </w:rPr>
  </w:style>
  <w:style w:type="character" w:customStyle="1" w:styleId="13">
    <w:name w:val="15"/>
    <w:basedOn w:val="7"/>
    <w:uiPriority w:val="0"/>
  </w:style>
  <w:style w:type="paragraph" w:customStyle="1" w:styleId="14">
    <w:name w:val="p"/>
    <w:basedOn w:val="1"/>
    <w:uiPriority w:val="0"/>
    <w:pPr>
      <w:widowControl/>
      <w:spacing w:before="100" w:beforeAutospacing="1" w:after="100" w:afterAutospacing="1"/>
      <w:jc w:val="left"/>
    </w:pPr>
    <w:rPr>
      <w:rFonts w:ascii="宋体" w:hAnsi="宋体" w:eastAsia="宋体" w:cs="宋体"/>
      <w:kern w:val="0"/>
      <w:sz w:val="24"/>
    </w:rPr>
  </w:style>
  <w:style w:type="paragraph" w:customStyle="1" w:styleId="15">
    <w:name w:val="Defaul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509</Words>
  <Characters>2903</Characters>
  <Lines>24</Lines>
  <Paragraphs>6</Paragraphs>
  <TotalTime>144</TotalTime>
  <ScaleCrop>false</ScaleCrop>
  <LinksUpToDate>false</LinksUpToDate>
  <CharactersWithSpaces>3406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2023-12-05T07:22:00Z</dcterms:created>
  <dc:creator>tianxing006</dc:creator>
  <cp:lastModifiedBy>时遇</cp:lastModifiedBy>
  <dcterms:modified xsi:type="dcterms:W3CDTF">2023-12-18T06:21:08Z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6B819593CB7E416AB0CE9222B9757DB6_12</vt:lpwstr>
  </property>
</Properties>
</file>