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20" w:lineRule="exact"/>
        <w:jc w:val="center"/>
        <w:rPr>
          <w:rFonts w:ascii="方正小标宋简体" w:eastAsia="方正小标宋简体"/>
          <w:b/>
          <w:color w:val="auto"/>
          <w:sz w:val="36"/>
          <w:szCs w:val="36"/>
          <w:highlight w:val="none"/>
        </w:rPr>
      </w:pPr>
      <w:r>
        <w:rPr>
          <w:rFonts w:hint="eastAsia" w:ascii="方正小标宋简体" w:eastAsia="方正小标宋简体"/>
          <w:b/>
          <w:color w:val="auto"/>
          <w:sz w:val="36"/>
          <w:szCs w:val="36"/>
          <w:highlight w:val="none"/>
        </w:rPr>
        <w:t>南京医科大学药学院2019年博士研究生招生</w:t>
      </w:r>
    </w:p>
    <w:p>
      <w:pPr>
        <w:spacing w:after="312" w:afterLines="100" w:line="720" w:lineRule="exact"/>
        <w:jc w:val="center"/>
        <w:rPr>
          <w:rFonts w:ascii="方正小标宋简体" w:eastAsia="方正小标宋简体"/>
          <w:b/>
          <w:color w:val="auto"/>
          <w:sz w:val="36"/>
          <w:szCs w:val="36"/>
          <w:highlight w:val="none"/>
        </w:rPr>
      </w:pPr>
      <w:r>
        <w:rPr>
          <w:rFonts w:hint="eastAsia" w:ascii="方正小标宋简体" w:eastAsia="方正小标宋简体"/>
          <w:b/>
          <w:color w:val="auto"/>
          <w:sz w:val="36"/>
          <w:szCs w:val="36"/>
          <w:highlight w:val="none"/>
        </w:rPr>
        <w:t>“申请-考核”制实施细则</w:t>
      </w:r>
    </w:p>
    <w:p>
      <w:pPr>
        <w:spacing w:line="480" w:lineRule="exact"/>
        <w:ind w:firstLine="560" w:firstLineChars="200"/>
        <w:outlineLvl w:val="0"/>
        <w:rPr>
          <w:rFonts w:ascii="仿宋" w:hAnsi="仿宋" w:eastAsia="仿宋"/>
          <w:color w:val="auto"/>
          <w:sz w:val="28"/>
          <w:szCs w:val="28"/>
          <w:highlight w:val="none"/>
        </w:rPr>
      </w:pPr>
      <w:r>
        <w:rPr>
          <w:rFonts w:hint="eastAsia" w:ascii="仿宋" w:hAnsi="仿宋" w:eastAsia="仿宋"/>
          <w:color w:val="auto"/>
          <w:sz w:val="28"/>
          <w:szCs w:val="28"/>
          <w:highlight w:val="none"/>
        </w:rPr>
        <w:t>根据学校《博士研究生招生“申请-考核”制实施办法》相关要求，制定药学院博士研究生招生“申请-考核”制实施细则，具体如下：</w:t>
      </w:r>
    </w:p>
    <w:p>
      <w:pPr>
        <w:spacing w:line="480" w:lineRule="exact"/>
        <w:outlineLvl w:val="0"/>
        <w:rPr>
          <w:rFonts w:ascii="仿宋" w:hAnsi="仿宋" w:eastAsia="仿宋"/>
          <w:b/>
          <w:color w:val="auto"/>
          <w:sz w:val="28"/>
          <w:szCs w:val="28"/>
          <w:highlight w:val="none"/>
        </w:rPr>
      </w:pPr>
      <w:r>
        <w:rPr>
          <w:rFonts w:hint="eastAsia" w:ascii="仿宋" w:hAnsi="仿宋" w:eastAsia="仿宋"/>
          <w:b/>
          <w:color w:val="auto"/>
          <w:sz w:val="28"/>
          <w:szCs w:val="28"/>
          <w:highlight w:val="none"/>
        </w:rPr>
        <w:t>一、实施范围</w:t>
      </w:r>
      <w:bookmarkStart w:id="2" w:name="_GoBack"/>
      <w:bookmarkEnd w:id="2"/>
    </w:p>
    <w:p>
      <w:pPr>
        <w:spacing w:line="480" w:lineRule="exact"/>
        <w:outlineLvl w:val="0"/>
        <w:rPr>
          <w:rFonts w:ascii="仿宋" w:hAnsi="仿宋" w:eastAsia="仿宋"/>
          <w:b/>
          <w:color w:val="auto"/>
          <w:sz w:val="28"/>
          <w:szCs w:val="28"/>
          <w:highlight w:val="none"/>
        </w:rPr>
      </w:pPr>
      <w:r>
        <w:rPr>
          <w:rFonts w:hint="eastAsia" w:ascii="仿宋" w:hAnsi="仿宋" w:eastAsia="仿宋"/>
          <w:color w:val="auto"/>
          <w:sz w:val="28"/>
          <w:szCs w:val="28"/>
          <w:highlight w:val="none"/>
        </w:rPr>
        <w:t xml:space="preserve">    从2018年起，博士研究生招生方式除了硕博连读外，全面实施“申请-考核”制，不再组织原有的博士生统一入学考试。</w:t>
      </w:r>
    </w:p>
    <w:p>
      <w:pPr>
        <w:spacing w:line="480" w:lineRule="exact"/>
        <w:outlineLvl w:val="0"/>
        <w:rPr>
          <w:rFonts w:ascii="仿宋" w:hAnsi="仿宋" w:eastAsia="仿宋"/>
          <w:b/>
          <w:color w:val="auto"/>
          <w:sz w:val="28"/>
          <w:szCs w:val="28"/>
          <w:highlight w:val="none"/>
        </w:rPr>
      </w:pPr>
      <w:r>
        <w:rPr>
          <w:rFonts w:hint="eastAsia" w:ascii="仿宋" w:hAnsi="仿宋" w:eastAsia="仿宋"/>
          <w:b/>
          <w:color w:val="auto"/>
          <w:sz w:val="28"/>
          <w:szCs w:val="28"/>
          <w:highlight w:val="none"/>
        </w:rPr>
        <w:t>二、申请条件</w:t>
      </w:r>
    </w:p>
    <w:p>
      <w:pPr>
        <w:spacing w:line="480" w:lineRule="exact"/>
        <w:rPr>
          <w:rFonts w:ascii="仿宋" w:hAnsi="仿宋" w:eastAsia="仿宋"/>
          <w:strike/>
          <w:color w:val="auto"/>
          <w:sz w:val="28"/>
          <w:szCs w:val="28"/>
          <w:highlight w:val="none"/>
        </w:rPr>
      </w:pPr>
      <w:r>
        <w:rPr>
          <w:rFonts w:hint="eastAsia" w:ascii="仿宋" w:hAnsi="仿宋" w:eastAsia="仿宋"/>
          <w:color w:val="auto"/>
          <w:sz w:val="28"/>
          <w:szCs w:val="28"/>
          <w:highlight w:val="none"/>
        </w:rPr>
        <w:t xml:space="preserve">    1、申请者须符合我校博士研究生招生简章中规定的报考条件。</w:t>
      </w:r>
    </w:p>
    <w:p>
      <w:pPr>
        <w:spacing w:line="480" w:lineRule="exact"/>
        <w:rPr>
          <w:rFonts w:ascii="仿宋" w:hAnsi="仿宋" w:eastAsia="仿宋"/>
          <w:color w:val="auto"/>
          <w:sz w:val="28"/>
          <w:szCs w:val="28"/>
          <w:highlight w:val="none"/>
          <w:lang w:val="zh-CN"/>
        </w:rPr>
      </w:pPr>
      <w:r>
        <w:rPr>
          <w:rFonts w:hint="eastAsia" w:ascii="仿宋" w:hAnsi="仿宋" w:eastAsia="仿宋"/>
          <w:color w:val="auto"/>
          <w:sz w:val="28"/>
          <w:szCs w:val="28"/>
          <w:highlight w:val="none"/>
        </w:rPr>
        <w:t xml:space="preserve">    </w:t>
      </w:r>
      <w:r>
        <w:rPr>
          <w:rFonts w:hint="eastAsia" w:ascii="仿宋" w:hAnsi="仿宋" w:eastAsia="仿宋"/>
          <w:color w:val="auto"/>
          <w:sz w:val="28"/>
          <w:szCs w:val="28"/>
          <w:highlight w:val="none"/>
          <w:lang w:val="zh-CN"/>
        </w:rPr>
        <w:t>2、申请者英语水平要求：</w:t>
      </w:r>
    </w:p>
    <w:p>
      <w:pPr>
        <w:spacing w:line="480" w:lineRule="exact"/>
        <w:rPr>
          <w:rFonts w:ascii="仿宋" w:hAnsi="仿宋" w:eastAsia="仿宋"/>
          <w:color w:val="auto"/>
          <w:sz w:val="28"/>
          <w:szCs w:val="28"/>
          <w:highlight w:val="none"/>
          <w:lang w:val="zh-CN"/>
        </w:rPr>
      </w:pPr>
      <w:r>
        <w:rPr>
          <w:rFonts w:hint="eastAsia" w:ascii="仿宋" w:hAnsi="仿宋" w:eastAsia="仿宋"/>
          <w:color w:val="auto"/>
          <w:sz w:val="28"/>
          <w:szCs w:val="28"/>
          <w:highlight w:val="none"/>
          <w:lang w:val="zh-CN"/>
        </w:rPr>
        <w:t xml:space="preserve">    （1）申请者英语水平应达到以下条件之一：</w:t>
      </w:r>
    </w:p>
    <w:p>
      <w:pPr>
        <w:spacing w:line="480" w:lineRule="exact"/>
        <w:rPr>
          <w:rFonts w:ascii="仿宋" w:hAnsi="仿宋" w:eastAsia="仿宋"/>
          <w:color w:val="auto"/>
          <w:sz w:val="28"/>
          <w:szCs w:val="28"/>
          <w:highlight w:val="none"/>
          <w:lang w:val="zh-CN"/>
        </w:rPr>
      </w:pPr>
      <w:r>
        <w:rPr>
          <w:rFonts w:hint="eastAsia" w:ascii="仿宋" w:hAnsi="仿宋" w:eastAsia="仿宋"/>
          <w:color w:val="auto"/>
          <w:sz w:val="28"/>
          <w:szCs w:val="28"/>
          <w:highlight w:val="none"/>
          <w:lang w:val="zh-CN"/>
        </w:rPr>
        <w:t xml:space="preserve">    ①TOEFL成绩100分以上（IBT）或250分以上（CBT）；</w:t>
      </w:r>
    </w:p>
    <w:p>
      <w:pPr>
        <w:spacing w:line="480" w:lineRule="exact"/>
        <w:rPr>
          <w:rFonts w:ascii="仿宋" w:hAnsi="仿宋" w:eastAsia="仿宋"/>
          <w:color w:val="auto"/>
          <w:sz w:val="28"/>
          <w:szCs w:val="28"/>
          <w:highlight w:val="none"/>
          <w:lang w:val="zh-CN"/>
        </w:rPr>
      </w:pPr>
      <w:r>
        <w:rPr>
          <w:rFonts w:hint="eastAsia" w:ascii="仿宋" w:hAnsi="仿宋" w:eastAsia="仿宋"/>
          <w:color w:val="auto"/>
          <w:sz w:val="28"/>
          <w:szCs w:val="28"/>
          <w:highlight w:val="none"/>
          <w:lang w:val="zh-CN"/>
        </w:rPr>
        <w:t xml:space="preserve">    ②GRE成绩1300分以上，新GRE成绩325分以上；</w:t>
      </w:r>
    </w:p>
    <w:p>
      <w:pPr>
        <w:spacing w:line="480" w:lineRule="exact"/>
        <w:rPr>
          <w:rFonts w:ascii="仿宋" w:hAnsi="仿宋" w:eastAsia="仿宋"/>
          <w:color w:val="auto"/>
          <w:sz w:val="28"/>
          <w:szCs w:val="28"/>
          <w:highlight w:val="none"/>
          <w:lang w:val="zh-CN"/>
        </w:rPr>
      </w:pPr>
      <w:r>
        <w:rPr>
          <w:rFonts w:hint="eastAsia" w:ascii="仿宋" w:hAnsi="仿宋" w:eastAsia="仿宋"/>
          <w:color w:val="auto"/>
          <w:sz w:val="28"/>
          <w:szCs w:val="28"/>
          <w:highlight w:val="none"/>
          <w:lang w:val="zh-CN"/>
        </w:rPr>
        <w:t xml:space="preserve">    ③WSK（PETS 5）考试合格；</w:t>
      </w:r>
    </w:p>
    <w:p>
      <w:pPr>
        <w:spacing w:line="480" w:lineRule="exact"/>
        <w:rPr>
          <w:rFonts w:ascii="仿宋" w:hAnsi="仿宋" w:eastAsia="仿宋"/>
          <w:color w:val="auto"/>
          <w:sz w:val="28"/>
          <w:szCs w:val="28"/>
          <w:highlight w:val="none"/>
          <w:lang w:val="zh-CN"/>
        </w:rPr>
      </w:pPr>
      <w:r>
        <w:rPr>
          <w:rFonts w:hint="eastAsia" w:ascii="仿宋" w:hAnsi="仿宋" w:eastAsia="仿宋"/>
          <w:color w:val="auto"/>
          <w:sz w:val="28"/>
          <w:szCs w:val="28"/>
          <w:highlight w:val="none"/>
          <w:lang w:val="zh-CN"/>
        </w:rPr>
        <w:t xml:space="preserve">    ④CET-6通过（或≥426分）；</w:t>
      </w:r>
    </w:p>
    <w:p>
      <w:pPr>
        <w:spacing w:line="480" w:lineRule="exact"/>
        <w:rPr>
          <w:rFonts w:ascii="仿宋" w:hAnsi="仿宋" w:eastAsia="仿宋"/>
          <w:color w:val="auto"/>
          <w:sz w:val="28"/>
          <w:szCs w:val="28"/>
          <w:highlight w:val="none"/>
          <w:lang w:val="zh-CN"/>
        </w:rPr>
      </w:pPr>
      <w:r>
        <w:rPr>
          <w:rFonts w:hint="eastAsia" w:ascii="仿宋" w:hAnsi="仿宋" w:eastAsia="仿宋"/>
          <w:color w:val="auto"/>
          <w:sz w:val="28"/>
          <w:szCs w:val="28"/>
          <w:highlight w:val="none"/>
          <w:lang w:val="zh-CN"/>
        </w:rPr>
        <w:t xml:space="preserve">    ⑤国家英语专业四级考试合格；</w:t>
      </w:r>
    </w:p>
    <w:p>
      <w:pPr>
        <w:spacing w:line="480" w:lineRule="exact"/>
        <w:rPr>
          <w:rFonts w:ascii="仿宋" w:hAnsi="仿宋" w:eastAsia="仿宋"/>
          <w:color w:val="auto"/>
          <w:sz w:val="28"/>
          <w:szCs w:val="28"/>
          <w:highlight w:val="none"/>
          <w:lang w:val="zh-CN"/>
        </w:rPr>
      </w:pPr>
      <w:r>
        <w:rPr>
          <w:rFonts w:hint="eastAsia" w:ascii="仿宋" w:hAnsi="仿宋" w:eastAsia="仿宋"/>
          <w:color w:val="auto"/>
          <w:sz w:val="28"/>
          <w:szCs w:val="28"/>
          <w:highlight w:val="none"/>
          <w:lang w:val="zh-CN"/>
        </w:rPr>
        <w:t xml:space="preserve">    ⑥IELTS≥6.0；</w:t>
      </w:r>
    </w:p>
    <w:p>
      <w:pPr>
        <w:spacing w:line="480" w:lineRule="exact"/>
        <w:ind w:firstLine="555"/>
        <w:rPr>
          <w:rFonts w:ascii="仿宋" w:hAnsi="仿宋" w:eastAsia="仿宋"/>
          <w:color w:val="auto"/>
          <w:sz w:val="28"/>
          <w:szCs w:val="28"/>
          <w:highlight w:val="none"/>
          <w:lang w:val="zh-CN"/>
        </w:rPr>
      </w:pPr>
      <w:r>
        <w:rPr>
          <w:rFonts w:hint="eastAsia" w:ascii="仿宋" w:hAnsi="仿宋" w:eastAsia="仿宋"/>
          <w:color w:val="auto"/>
          <w:sz w:val="28"/>
          <w:szCs w:val="28"/>
          <w:highlight w:val="none"/>
          <w:lang w:val="zh-CN"/>
        </w:rPr>
        <w:t>⑦在相应的英语国家或地区获得过学位；</w:t>
      </w:r>
    </w:p>
    <w:p>
      <w:pPr>
        <w:spacing w:line="480" w:lineRule="exact"/>
        <w:ind w:firstLine="555"/>
        <w:rPr>
          <w:rFonts w:ascii="仿宋" w:hAnsi="仿宋" w:eastAsia="仿宋"/>
          <w:color w:val="auto"/>
          <w:sz w:val="28"/>
          <w:szCs w:val="28"/>
          <w:highlight w:val="none"/>
          <w:lang w:val="zh-CN"/>
        </w:rPr>
      </w:pPr>
      <w:r>
        <w:rPr>
          <w:rFonts w:hint="eastAsia" w:ascii="仿宋" w:hAnsi="仿宋" w:eastAsia="仿宋"/>
          <w:color w:val="auto"/>
          <w:sz w:val="28"/>
          <w:szCs w:val="28"/>
          <w:highlight w:val="none"/>
          <w:lang w:val="zh-CN"/>
        </w:rPr>
        <w:t>⑧以第一作者身份在英文国际期刊上发表过专业学术论文。</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lang w:val="zh-CN"/>
        </w:rPr>
        <w:t xml:space="preserve">    （2）申请者英语水平未达第（1）条的</w:t>
      </w:r>
      <w:r>
        <w:rPr>
          <w:rFonts w:hint="eastAsia" w:ascii="仿宋" w:hAnsi="仿宋" w:eastAsia="仿宋"/>
          <w:color w:val="auto"/>
          <w:sz w:val="28"/>
          <w:szCs w:val="28"/>
          <w:highlight w:val="none"/>
        </w:rPr>
        <w:t>要求，可以参加国家医学考试中心组织的“医学博士外语统一考试”（每年3月份考试），英语成绩合格者当年可以申请参加春季补充选拔批次考核。</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3、申请者专业基础扎实，对科学研究兴趣浓厚，有较强的科研能力和创新意识，已取得一定的科研成果。</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4、申请者具有良好的思想道德品质，遵纪守法，诚实守信，身心健康。</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5、我校每位博士生导师每年的招生名额有限，一般为一名（硕博连读或“申请-考核”制），申请者在报考前务必与拟报考导师联系，并经该导师签字同意报考后方可提出申请。</w:t>
      </w:r>
    </w:p>
    <w:p>
      <w:pPr>
        <w:spacing w:line="480" w:lineRule="exact"/>
        <w:outlineLvl w:val="0"/>
        <w:rPr>
          <w:rFonts w:ascii="仿宋" w:hAnsi="仿宋" w:eastAsia="仿宋"/>
          <w:color w:val="auto"/>
          <w:sz w:val="28"/>
          <w:szCs w:val="28"/>
          <w:highlight w:val="none"/>
        </w:rPr>
      </w:pPr>
      <w:r>
        <w:rPr>
          <w:rFonts w:hint="eastAsia" w:ascii="仿宋" w:hAnsi="仿宋" w:eastAsia="仿宋"/>
          <w:b/>
          <w:color w:val="auto"/>
          <w:sz w:val="28"/>
          <w:szCs w:val="28"/>
          <w:highlight w:val="none"/>
        </w:rPr>
        <w:t>三、工作程序</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“申请-考核”制博士研究生招生工作在学校硕博连读选拔工作结束后启动（每年11月下旬），当年招生指标被硕博连读考生占满的导师将不再接受“申请-考核”制考生报名。</w:t>
      </w:r>
    </w:p>
    <w:p>
      <w:pPr>
        <w:spacing w:line="480" w:lineRule="exact"/>
        <w:rPr>
          <w:rFonts w:ascii="仿宋" w:hAnsi="仿宋" w:eastAsia="仿宋"/>
          <w:b/>
          <w:color w:val="auto"/>
          <w:sz w:val="28"/>
          <w:szCs w:val="28"/>
          <w:highlight w:val="none"/>
        </w:rPr>
      </w:pPr>
      <w:r>
        <w:rPr>
          <w:rFonts w:hint="eastAsia" w:ascii="仿宋" w:hAnsi="仿宋" w:eastAsia="仿宋"/>
          <w:b/>
          <w:color w:val="auto"/>
          <w:sz w:val="28"/>
          <w:szCs w:val="28"/>
          <w:highlight w:val="none"/>
        </w:rPr>
        <w:t>（一）网上报名及提交申请材料</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申请者在规定的时间内进行网上报名，并将以下申请材料寄送至药学院办公室：</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1、《报考登记表》一份（网报后打印，须经所报考导师签字同意报考）；</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2、本人有效身份证和</w:t>
      </w:r>
      <w:r>
        <w:rPr>
          <w:rFonts w:hint="eastAsia" w:ascii="仿宋" w:hAnsi="仿宋" w:eastAsia="仿宋"/>
          <w:color w:val="auto"/>
          <w:kern w:val="0"/>
          <w:sz w:val="28"/>
          <w:szCs w:val="28"/>
          <w:highlight w:val="none"/>
        </w:rPr>
        <w:t>学生证（应届生须提供）复印件各一份</w:t>
      </w:r>
      <w:r>
        <w:rPr>
          <w:rFonts w:hint="eastAsia" w:ascii="仿宋" w:hAnsi="仿宋" w:eastAsia="仿宋"/>
          <w:color w:val="auto"/>
          <w:sz w:val="28"/>
          <w:szCs w:val="28"/>
          <w:highlight w:val="none"/>
        </w:rPr>
        <w:t>；</w:t>
      </w:r>
    </w:p>
    <w:p>
      <w:pPr>
        <w:spacing w:line="480" w:lineRule="exact"/>
        <w:rPr>
          <w:rFonts w:ascii="仿宋" w:hAnsi="仿宋" w:eastAsia="仿宋"/>
          <w:color w:val="auto"/>
          <w:kern w:val="0"/>
          <w:sz w:val="28"/>
          <w:szCs w:val="28"/>
          <w:highlight w:val="none"/>
        </w:rPr>
      </w:pPr>
      <w:r>
        <w:rPr>
          <w:rFonts w:hint="eastAsia" w:ascii="仿宋" w:hAnsi="仿宋" w:eastAsia="仿宋"/>
          <w:color w:val="auto"/>
          <w:sz w:val="28"/>
          <w:szCs w:val="28"/>
          <w:highlight w:val="none"/>
        </w:rPr>
        <w:t xml:space="preserve">    3、硕士研究生毕业证书和硕士学位证书复印件各一份，</w:t>
      </w:r>
      <w:r>
        <w:rPr>
          <w:rFonts w:hint="eastAsia" w:ascii="仿宋" w:hAnsi="仿宋" w:eastAsia="仿宋"/>
          <w:color w:val="auto"/>
          <w:kern w:val="0"/>
          <w:sz w:val="28"/>
          <w:szCs w:val="28"/>
          <w:highlight w:val="none"/>
        </w:rPr>
        <w:t>应届生提供在读学校研究生学籍管理部门出具的应届毕业硕士生证明；</w:t>
      </w:r>
    </w:p>
    <w:p>
      <w:pPr>
        <w:spacing w:line="480" w:lineRule="exac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 xml:space="preserve">    4、本科（如有）及硕士阶段成绩单一份（须加盖所在学校学习成绩管理部门公章）；</w:t>
      </w:r>
    </w:p>
    <w:p>
      <w:pPr>
        <w:spacing w:line="480" w:lineRule="exac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 xml:space="preserve">    5、英语水平证明材料（如CET-6、TOEFL、IELTS等的证书复印件或成绩单）；</w:t>
      </w:r>
    </w:p>
    <w:p>
      <w:pPr>
        <w:spacing w:line="480" w:lineRule="exac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 xml:space="preserve">    6、硕士学位论文（应届生提供硕士学位论文简介及研究进展）</w:t>
      </w:r>
    </w:p>
    <w:p>
      <w:pPr>
        <w:spacing w:line="480" w:lineRule="exac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 xml:space="preserve">    7、已取得的科研成果（含专利、公开发表的学术性论文、专著等）复印件（如有）；</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8、获奖证书或其他可以证明考生科研能力和水平的证明材料（如有）；</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9、申请学科专业领域内两位教授（</w:t>
      </w:r>
      <w:r>
        <w:rPr>
          <w:rFonts w:hint="eastAsia" w:ascii="仿宋" w:hAnsi="仿宋" w:eastAsia="仿宋"/>
          <w:color w:val="auto"/>
          <w:sz w:val="28"/>
          <w:szCs w:val="28"/>
          <w:highlight w:val="none"/>
          <w:lang w:val="zh-CN"/>
        </w:rPr>
        <w:t>或相当专业技术职称的专家）</w:t>
      </w:r>
      <w:r>
        <w:rPr>
          <w:rFonts w:hint="eastAsia" w:ascii="仿宋" w:hAnsi="仿宋" w:eastAsia="仿宋"/>
          <w:color w:val="auto"/>
          <w:sz w:val="28"/>
          <w:szCs w:val="28"/>
          <w:highlight w:val="none"/>
        </w:rPr>
        <w:t>的书面推荐意见（按统一格式，密封后提交）；</w:t>
      </w:r>
    </w:p>
    <w:p>
      <w:pPr>
        <w:spacing w:line="480" w:lineRule="exac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 xml:space="preserve">    </w:t>
      </w:r>
      <w:r>
        <w:rPr>
          <w:rFonts w:hint="eastAsia" w:ascii="仿宋" w:hAnsi="仿宋" w:eastAsia="仿宋"/>
          <w:color w:val="auto"/>
          <w:kern w:val="0"/>
          <w:sz w:val="28"/>
          <w:szCs w:val="28"/>
          <w:highlight w:val="none"/>
        </w:rPr>
        <w:t>10、我院不招收同等学力考生。</w:t>
      </w:r>
    </w:p>
    <w:p>
      <w:pPr>
        <w:spacing w:line="480" w:lineRule="exact"/>
        <w:rPr>
          <w:rFonts w:ascii="仿宋" w:hAnsi="仿宋" w:eastAsia="仿宋"/>
          <w:bCs/>
          <w:color w:val="auto"/>
          <w:kern w:val="0"/>
          <w:sz w:val="28"/>
          <w:szCs w:val="28"/>
          <w:highlight w:val="none"/>
        </w:rPr>
      </w:pPr>
      <w:r>
        <w:rPr>
          <w:rFonts w:hint="eastAsia" w:ascii="仿宋" w:hAnsi="仿宋" w:eastAsia="仿宋"/>
          <w:color w:val="auto"/>
          <w:kern w:val="0"/>
          <w:sz w:val="28"/>
          <w:szCs w:val="28"/>
          <w:highlight w:val="none"/>
        </w:rPr>
        <w:t xml:space="preserve">    申请者必须保证所有申请材料的真实性和准确性，不得伪造有关证明。一经发现作伪并核实，将取消其考核资格、录取资格或取消学籍等。</w:t>
      </w:r>
    </w:p>
    <w:p>
      <w:pPr>
        <w:spacing w:line="480" w:lineRule="exact"/>
        <w:rPr>
          <w:rFonts w:ascii="仿宋" w:hAnsi="仿宋" w:eastAsia="仿宋"/>
          <w:b/>
          <w:color w:val="auto"/>
          <w:sz w:val="28"/>
          <w:szCs w:val="28"/>
          <w:highlight w:val="none"/>
        </w:rPr>
      </w:pPr>
      <w:r>
        <w:rPr>
          <w:rFonts w:hint="eastAsia" w:ascii="仿宋" w:hAnsi="仿宋" w:eastAsia="仿宋"/>
          <w:b/>
          <w:color w:val="auto"/>
          <w:sz w:val="28"/>
          <w:szCs w:val="28"/>
          <w:highlight w:val="none"/>
        </w:rPr>
        <w:t>（二）资格审查</w:t>
      </w:r>
    </w:p>
    <w:p>
      <w:pPr>
        <w:spacing w:line="480" w:lineRule="exact"/>
        <w:ind w:firstLine="555"/>
        <w:rPr>
          <w:rFonts w:ascii="仿宋" w:hAnsi="仿宋" w:eastAsia="仿宋"/>
          <w:color w:val="auto"/>
          <w:sz w:val="28"/>
          <w:szCs w:val="28"/>
          <w:highlight w:val="none"/>
        </w:rPr>
      </w:pPr>
      <w:r>
        <w:rPr>
          <w:rFonts w:hint="eastAsia" w:ascii="仿宋" w:hAnsi="仿宋" w:eastAsia="仿宋"/>
          <w:color w:val="auto"/>
          <w:sz w:val="28"/>
          <w:szCs w:val="28"/>
          <w:highlight w:val="none"/>
        </w:rPr>
        <w:t>学院根据申请者所提交的材料，对其报考资格进行初审，并成立“资格审查小组”（以学院或学系为单位，含3-5位副高及以上职称专家），对初审通过的每个申请者的材料进行认真评审并评分，以评分方式，按一定比例（不超过1:5）和择优推荐原则，确定入围综合考核的申请者名单，并经学院研究生招生工作领导小组批准后在学院网站主页公布。资格审查评分应包含学术背景、学习成绩和外语水平、学术成果、综合素质四个部分。</w:t>
      </w:r>
    </w:p>
    <w:p>
      <w:pPr>
        <w:spacing w:line="480" w:lineRule="exact"/>
        <w:ind w:firstLine="560" w:firstLineChars="200"/>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1、学术背景（满分20分）</w:t>
      </w:r>
    </w:p>
    <w:p>
      <w:pPr>
        <w:spacing w:line="480" w:lineRule="exact"/>
        <w:ind w:firstLine="560" w:firstLineChars="200"/>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学术背景是指学习经历，参与的研究课题（包括课题级别，考生排名）等。</w:t>
      </w:r>
    </w:p>
    <w:p>
      <w:pPr>
        <w:spacing w:line="480" w:lineRule="exact"/>
        <w:ind w:firstLine="560" w:firstLineChars="200"/>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2、成绩和外语水平（满分20分）</w:t>
      </w:r>
    </w:p>
    <w:p>
      <w:pPr>
        <w:spacing w:line="480" w:lineRule="exact"/>
        <w:ind w:firstLine="560" w:firstLineChars="200"/>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成绩占10分，主要以考生硕士阶段成绩优秀率，良好率进行量化打分；外语成绩占10分，可以等级考试的分数折算成百分制比较，有海外研修经历可酌情加分。</w:t>
      </w:r>
    </w:p>
    <w:p>
      <w:pPr>
        <w:spacing w:line="480" w:lineRule="exact"/>
        <w:ind w:firstLine="560" w:firstLineChars="200"/>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3、学术成果（满分40分）</w:t>
      </w:r>
    </w:p>
    <w:p>
      <w:pPr>
        <w:spacing w:line="480" w:lineRule="exact"/>
        <w:ind w:firstLine="560" w:firstLineChars="200"/>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考核项目主要包括：发表论文的期刊等级、IF、篇数；著作、专利；科研获奖情况。</w:t>
      </w:r>
    </w:p>
    <w:p>
      <w:pPr>
        <w:spacing w:line="480" w:lineRule="exact"/>
        <w:ind w:firstLine="560" w:firstLineChars="200"/>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4、综合素质（满分20分）</w:t>
      </w:r>
    </w:p>
    <w:p>
      <w:pPr>
        <w:spacing w:line="480" w:lineRule="exact"/>
        <w:ind w:firstLine="560" w:firstLineChars="200"/>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主要包括思想政治情况、社会任职情况、各类获奖情况。</w:t>
      </w:r>
    </w:p>
    <w:p>
      <w:pPr>
        <w:spacing w:line="480" w:lineRule="exact"/>
        <w:outlineLvl w:val="0"/>
        <w:rPr>
          <w:rFonts w:ascii="仿宋" w:hAnsi="仿宋" w:eastAsia="仿宋"/>
          <w:b/>
          <w:color w:val="auto"/>
          <w:sz w:val="28"/>
          <w:szCs w:val="28"/>
          <w:highlight w:val="none"/>
        </w:rPr>
      </w:pPr>
      <w:r>
        <w:rPr>
          <w:rFonts w:hint="eastAsia" w:ascii="仿宋" w:hAnsi="仿宋" w:eastAsia="仿宋"/>
          <w:b/>
          <w:color w:val="auto"/>
          <w:sz w:val="28"/>
          <w:szCs w:val="28"/>
          <w:highlight w:val="none"/>
        </w:rPr>
        <w:t>（三）综合考核</w:t>
      </w:r>
    </w:p>
    <w:p>
      <w:pPr>
        <w:spacing w:line="480" w:lineRule="exact"/>
        <w:ind w:firstLine="570"/>
        <w:rPr>
          <w:rFonts w:ascii="仿宋" w:hAnsi="仿宋" w:eastAsia="仿宋"/>
          <w:color w:val="auto"/>
          <w:sz w:val="28"/>
          <w:szCs w:val="28"/>
          <w:highlight w:val="none"/>
        </w:rPr>
      </w:pPr>
      <w:r>
        <w:rPr>
          <w:rFonts w:hint="eastAsia" w:ascii="仿宋" w:hAnsi="仿宋" w:eastAsia="仿宋"/>
          <w:color w:val="auto"/>
          <w:sz w:val="28"/>
          <w:szCs w:val="28"/>
          <w:highlight w:val="none"/>
        </w:rPr>
        <w:t>1、</w:t>
      </w:r>
      <w:r>
        <w:rPr>
          <w:rFonts w:hint="eastAsia" w:ascii="仿宋" w:hAnsi="仿宋" w:eastAsia="仿宋"/>
          <w:color w:val="auto"/>
          <w:kern w:val="0"/>
          <w:sz w:val="28"/>
          <w:szCs w:val="28"/>
          <w:highlight w:val="none"/>
        </w:rPr>
        <w:t>根据本学科特点和培养要求，重点考核考生综合运用所学知识的能力、本学科前沿知识及是否具备博士研究生培养的潜能和综合素质，对专业学位的考生加强临床技能操作考核。</w:t>
      </w:r>
      <w:r>
        <w:rPr>
          <w:rFonts w:hint="eastAsia" w:ascii="仿宋" w:hAnsi="仿宋" w:eastAsia="仿宋"/>
          <w:color w:val="auto"/>
          <w:sz w:val="28"/>
          <w:szCs w:val="28"/>
          <w:highlight w:val="none"/>
        </w:rPr>
        <w:t>同时特别要注重考查考生的道德品质、遵纪守法、科学精神、学术道德、专业伦理、诚实守信等方面的情况。</w:t>
      </w:r>
    </w:p>
    <w:p>
      <w:pPr>
        <w:spacing w:line="480" w:lineRule="exact"/>
        <w:rPr>
          <w:rFonts w:ascii="仿宋" w:hAnsi="仿宋" w:eastAsia="仿宋"/>
          <w:color w:val="auto"/>
          <w:kern w:val="0"/>
          <w:sz w:val="28"/>
          <w:szCs w:val="28"/>
          <w:highlight w:val="none"/>
        </w:rPr>
      </w:pPr>
      <w:r>
        <w:rPr>
          <w:rFonts w:hint="eastAsia" w:ascii="仿宋" w:hAnsi="仿宋" w:eastAsia="仿宋"/>
          <w:color w:val="auto"/>
          <w:kern w:val="0"/>
          <w:sz w:val="28"/>
          <w:szCs w:val="28"/>
          <w:highlight w:val="none"/>
        </w:rPr>
        <w:t xml:space="preserve">    2、</w:t>
      </w:r>
      <w:r>
        <w:rPr>
          <w:rFonts w:hint="eastAsia" w:ascii="仿宋" w:hAnsi="仿宋" w:eastAsia="仿宋"/>
          <w:color w:val="auto"/>
          <w:sz w:val="28"/>
          <w:szCs w:val="28"/>
          <w:highlight w:val="none"/>
        </w:rPr>
        <w:t>综合考核包括综合笔试、综合能力考核和综合答辩。</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1）综合笔试（满分100分）</w:t>
      </w:r>
    </w:p>
    <w:p>
      <w:pPr>
        <w:spacing w:line="480" w:lineRule="exact"/>
        <w:ind w:firstLine="555"/>
        <w:rPr>
          <w:rFonts w:ascii="仿宋" w:hAnsi="仿宋" w:eastAsia="仿宋"/>
          <w:color w:val="auto"/>
          <w:sz w:val="28"/>
          <w:szCs w:val="28"/>
          <w:highlight w:val="none"/>
        </w:rPr>
      </w:pPr>
      <w:r>
        <w:rPr>
          <w:rFonts w:hint="eastAsia" w:ascii="仿宋" w:hAnsi="仿宋" w:eastAsia="仿宋"/>
          <w:color w:val="auto"/>
          <w:sz w:val="28"/>
          <w:szCs w:val="28"/>
          <w:highlight w:val="none"/>
        </w:rPr>
        <w:t>形式：闭卷，时间3小时。</w:t>
      </w:r>
      <w:r>
        <w:rPr>
          <w:rFonts w:ascii="仿宋" w:hAnsi="仿宋" w:eastAsia="仿宋"/>
          <w:color w:val="auto"/>
          <w:sz w:val="28"/>
          <w:szCs w:val="28"/>
          <w:highlight w:val="none"/>
        </w:rPr>
        <w:t xml:space="preserve"> </w:t>
      </w:r>
    </w:p>
    <w:p>
      <w:pPr>
        <w:spacing w:line="480" w:lineRule="exact"/>
        <w:ind w:firstLine="555"/>
        <w:rPr>
          <w:rFonts w:ascii="仿宋" w:hAnsi="仿宋" w:eastAsia="仿宋"/>
          <w:color w:val="auto"/>
          <w:sz w:val="28"/>
          <w:szCs w:val="28"/>
          <w:highlight w:val="none"/>
        </w:rPr>
      </w:pPr>
      <w:r>
        <w:rPr>
          <w:rFonts w:hint="eastAsia" w:ascii="仿宋" w:hAnsi="仿宋" w:eastAsia="仿宋"/>
          <w:color w:val="auto"/>
          <w:sz w:val="28"/>
          <w:szCs w:val="28"/>
          <w:highlight w:val="none"/>
        </w:rPr>
        <w:t>内容：①专业外语测试（占50%）：主要考核考生阅读和翻译外文文献的水平；②专业课测试（占50%）：主要考核考生基础理论、专业知识掌握程度。</w:t>
      </w:r>
      <w:r>
        <w:rPr>
          <w:rFonts w:hint="eastAsia" w:ascii="仿宋" w:hAnsi="仿宋" w:eastAsia="仿宋"/>
          <w:color w:val="auto"/>
          <w:sz w:val="28"/>
          <w:szCs w:val="28"/>
          <w:highlight w:val="none"/>
        </w:rPr>
        <w:t>参考书目：《药理学》，第</w:t>
      </w:r>
      <w:r>
        <w:rPr>
          <w:rFonts w:ascii="仿宋" w:hAnsi="仿宋" w:eastAsia="仿宋"/>
          <w:color w:val="auto"/>
          <w:sz w:val="28"/>
          <w:szCs w:val="28"/>
          <w:highlight w:val="none"/>
        </w:rPr>
        <w:t>8</w:t>
      </w:r>
      <w:r>
        <w:rPr>
          <w:rFonts w:hint="eastAsia" w:ascii="仿宋" w:hAnsi="仿宋" w:eastAsia="仿宋"/>
          <w:color w:val="auto"/>
          <w:sz w:val="28"/>
          <w:szCs w:val="28"/>
          <w:highlight w:val="none"/>
        </w:rPr>
        <w:t>版，杨宝峰主编，人民卫生出版社。《药物分析学》，第8版，杭太俊主编，人民卫生出版社。</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2）综合能力考核（满分100分）</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形式：开放性，时间5天内完成。</w:t>
      </w:r>
    </w:p>
    <w:p>
      <w:pPr>
        <w:spacing w:line="480" w:lineRule="exact"/>
        <w:ind w:firstLine="555"/>
        <w:rPr>
          <w:rFonts w:ascii="仿宋" w:hAnsi="仿宋" w:eastAsia="仿宋"/>
          <w:color w:val="auto"/>
          <w:sz w:val="28"/>
          <w:szCs w:val="28"/>
          <w:highlight w:val="none"/>
        </w:rPr>
      </w:pPr>
      <w:r>
        <w:rPr>
          <w:rFonts w:hint="eastAsia" w:ascii="仿宋" w:hAnsi="仿宋" w:eastAsia="仿宋"/>
          <w:color w:val="auto"/>
          <w:sz w:val="28"/>
          <w:szCs w:val="28"/>
          <w:highlight w:val="none"/>
        </w:rPr>
        <w:t>内容：（1）科研思维考核（满分60分）：导师指定具体科研设计题目，考生自行查阅相关文献，在5天内完成科研设计方案。（2）实践操作能力考核（满分40分）：考生在指定的实验室，在规定时间内，现场完成基本的实验操作。</w:t>
      </w:r>
    </w:p>
    <w:p>
      <w:pPr>
        <w:spacing w:line="480" w:lineRule="exact"/>
        <w:ind w:firstLine="555"/>
        <w:rPr>
          <w:rFonts w:ascii="仿宋" w:hAnsi="仿宋" w:eastAsia="仿宋"/>
          <w:color w:val="auto"/>
          <w:sz w:val="28"/>
          <w:szCs w:val="28"/>
          <w:highlight w:val="none"/>
        </w:rPr>
      </w:pPr>
      <w:r>
        <w:rPr>
          <w:rFonts w:hint="eastAsia" w:ascii="仿宋" w:hAnsi="仿宋" w:eastAsia="仿宋"/>
          <w:color w:val="auto"/>
          <w:sz w:val="28"/>
          <w:szCs w:val="28"/>
          <w:highlight w:val="none"/>
        </w:rPr>
        <w:t>综合能力考核合格线：60分。综合能力考核不合格者，不予录取。对于思想品德考核不合格者不予录取。</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3）综合答辩（满分100分）</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形式：学院组织成立综合答辩专家小组对考生逐一考核（一般不少于5位博士生导师，其中至少3名为学术型博士生导师），一般每人不少于20分钟。</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内容：基于考生完成的科研设计等材料，对考生综合能力进一步考核，提出专业问题，要求考生现场作答，考核考生综合运用所学知识的能力、创新能力、科研潜质、外国语应用能力等。</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2、报考同一导师的考生由同一综合答辩专家小组进行考核。综合答辩全程录音录像，学院妥善留存备查。</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3、综合考核总成绩=综合笔试成绩×20%+综合能力考核成绩×50%+综合答辩成绩×30%。各学院</w:t>
      </w:r>
      <w:r>
        <w:rPr>
          <w:rFonts w:hint="eastAsia" w:ascii="仿宋" w:hAnsi="仿宋" w:eastAsia="仿宋"/>
          <w:color w:val="auto"/>
          <w:kern w:val="0"/>
          <w:sz w:val="28"/>
          <w:szCs w:val="28"/>
          <w:highlight w:val="none"/>
        </w:rPr>
        <w:t>根据考生的综合考核总成绩情况，择优确定拟录</w:t>
      </w:r>
      <w:r>
        <w:rPr>
          <w:rFonts w:hint="eastAsia" w:ascii="仿宋" w:hAnsi="仿宋" w:eastAsia="仿宋"/>
          <w:color w:val="auto"/>
          <w:sz w:val="28"/>
          <w:szCs w:val="28"/>
          <w:highlight w:val="none"/>
        </w:rPr>
        <w:t>取名单，并报研究生院审批。</w:t>
      </w:r>
    </w:p>
    <w:p>
      <w:pPr>
        <w:spacing w:line="480" w:lineRule="exact"/>
        <w:rPr>
          <w:rFonts w:ascii="仿宋" w:hAnsi="仿宋" w:eastAsia="仿宋"/>
          <w:b/>
          <w:color w:val="auto"/>
          <w:sz w:val="28"/>
          <w:szCs w:val="28"/>
          <w:highlight w:val="none"/>
        </w:rPr>
      </w:pPr>
      <w:r>
        <w:rPr>
          <w:rFonts w:hint="eastAsia" w:ascii="仿宋" w:hAnsi="仿宋" w:eastAsia="仿宋"/>
          <w:b/>
          <w:color w:val="auto"/>
          <w:sz w:val="28"/>
          <w:szCs w:val="28"/>
          <w:highlight w:val="none"/>
        </w:rPr>
        <w:t>（四）录取工作</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1、要按照“择优录取、保证质量、宁缺毋滥”的原则进行录取工作。</w:t>
      </w:r>
    </w:p>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w:t>
      </w:r>
      <w:r>
        <w:rPr>
          <w:rFonts w:ascii="仿宋" w:hAnsi="仿宋" w:eastAsia="仿宋"/>
          <w:color w:val="auto"/>
          <w:sz w:val="28"/>
          <w:szCs w:val="28"/>
          <w:highlight w:val="none"/>
        </w:rPr>
        <w:t>2</w:t>
      </w:r>
      <w:r>
        <w:rPr>
          <w:rFonts w:hint="eastAsia" w:ascii="仿宋" w:hAnsi="仿宋" w:eastAsia="仿宋"/>
          <w:color w:val="auto"/>
          <w:sz w:val="28"/>
          <w:szCs w:val="28"/>
          <w:highlight w:val="none"/>
        </w:rPr>
        <w:t>、</w:t>
      </w:r>
      <w:bookmarkStart w:id="0" w:name="OLE_LINK1"/>
      <w:bookmarkStart w:id="1" w:name="OLE_LINK2"/>
      <w:r>
        <w:rPr>
          <w:rFonts w:hint="eastAsia" w:ascii="仿宋" w:hAnsi="仿宋" w:eastAsia="仿宋"/>
          <w:color w:val="auto"/>
          <w:sz w:val="28"/>
          <w:szCs w:val="28"/>
          <w:highlight w:val="none"/>
        </w:rPr>
        <w:t>学院研究生招生工作领导小组审议确定拟录取名单，在本学院网站主页公示申请人科研学术情况、综合考核各项成绩等情况，公示时间不少于</w:t>
      </w:r>
      <w:r>
        <w:rPr>
          <w:rFonts w:ascii="仿宋" w:hAnsi="仿宋" w:eastAsia="仿宋"/>
          <w:color w:val="auto"/>
          <w:sz w:val="28"/>
          <w:szCs w:val="28"/>
          <w:highlight w:val="none"/>
        </w:rPr>
        <w:t>10个工作日</w:t>
      </w:r>
      <w:r>
        <w:rPr>
          <w:rFonts w:hint="eastAsia" w:ascii="仿宋" w:hAnsi="仿宋" w:eastAsia="仿宋"/>
          <w:color w:val="auto"/>
          <w:sz w:val="28"/>
          <w:szCs w:val="28"/>
          <w:highlight w:val="none"/>
        </w:rPr>
        <w:t>。考生对公示情况有异议可向学院或研究生院提出申诉。</w:t>
      </w:r>
    </w:p>
    <w:bookmarkEnd w:id="0"/>
    <w:bookmarkEnd w:id="1"/>
    <w:p>
      <w:pPr>
        <w:spacing w:line="480" w:lineRule="exact"/>
        <w:rPr>
          <w:rFonts w:ascii="仿宋" w:hAnsi="仿宋" w:eastAsia="仿宋"/>
          <w:color w:val="auto"/>
          <w:sz w:val="28"/>
          <w:szCs w:val="28"/>
          <w:highlight w:val="none"/>
        </w:rPr>
      </w:pPr>
      <w:r>
        <w:rPr>
          <w:rFonts w:hint="eastAsia" w:ascii="仿宋" w:hAnsi="仿宋" w:eastAsia="仿宋"/>
          <w:color w:val="auto"/>
          <w:sz w:val="28"/>
          <w:szCs w:val="28"/>
          <w:highlight w:val="none"/>
        </w:rPr>
        <w:t xml:space="preserve">    </w:t>
      </w:r>
      <w:r>
        <w:rPr>
          <w:rFonts w:ascii="仿宋" w:hAnsi="仿宋" w:eastAsia="仿宋"/>
          <w:color w:val="auto"/>
          <w:sz w:val="28"/>
          <w:szCs w:val="28"/>
          <w:highlight w:val="none"/>
        </w:rPr>
        <w:t>3</w:t>
      </w:r>
      <w:r>
        <w:rPr>
          <w:rFonts w:hint="eastAsia" w:ascii="仿宋" w:hAnsi="仿宋" w:eastAsia="仿宋"/>
          <w:color w:val="auto"/>
          <w:sz w:val="28"/>
          <w:szCs w:val="28"/>
          <w:highlight w:val="none"/>
        </w:rPr>
        <w:t>、公示结束后，学院将拟录取名单连同考核相关表格及材料上报研究生院，经研究生院审核通过后，在学校研究生招生网上统一公示拟录取博士生名单，并经体检、政审、调档等流程后，向拟录取新生发录取通知书。</w:t>
      </w:r>
    </w:p>
    <w:p>
      <w:pPr>
        <w:spacing w:line="480" w:lineRule="exact"/>
        <w:rPr>
          <w:rFonts w:ascii="仿宋" w:hAnsi="仿宋" w:eastAsia="仿宋"/>
          <w:b/>
          <w:color w:val="auto"/>
          <w:sz w:val="28"/>
          <w:szCs w:val="28"/>
          <w:highlight w:val="none"/>
        </w:rPr>
      </w:pPr>
      <w:r>
        <w:rPr>
          <w:rFonts w:hint="eastAsia" w:ascii="仿宋" w:hAnsi="仿宋" w:eastAsia="仿宋"/>
          <w:b/>
          <w:color w:val="auto"/>
          <w:sz w:val="28"/>
          <w:szCs w:val="28"/>
          <w:highlight w:val="none"/>
        </w:rPr>
        <w:t>（五）联系方式</w:t>
      </w:r>
    </w:p>
    <w:p>
      <w:pPr>
        <w:spacing w:line="480" w:lineRule="exact"/>
        <w:ind w:firstLine="560" w:firstLineChars="200"/>
        <w:rPr>
          <w:rFonts w:ascii="仿宋" w:hAnsi="仿宋" w:eastAsia="仿宋"/>
          <w:color w:val="auto"/>
          <w:sz w:val="28"/>
          <w:szCs w:val="28"/>
          <w:highlight w:val="none"/>
        </w:rPr>
      </w:pPr>
      <w:r>
        <w:rPr>
          <w:rFonts w:hint="eastAsia" w:ascii="仿宋" w:hAnsi="仿宋" w:eastAsia="仿宋"/>
          <w:color w:val="auto"/>
          <w:sz w:val="28"/>
          <w:szCs w:val="28"/>
          <w:highlight w:val="none"/>
        </w:rPr>
        <w:t>邮寄地址：江宁区龙眠大道101号南京医科大学至诚楼北楼Y318办公室（211166）。联系人：冒老师 025-86868467</w:t>
      </w:r>
    </w:p>
    <w:p>
      <w:pPr>
        <w:spacing w:line="480" w:lineRule="exact"/>
        <w:rPr>
          <w:rFonts w:ascii="仿宋" w:hAnsi="仿宋" w:eastAsia="仿宋"/>
          <w:color w:val="auto"/>
          <w:sz w:val="28"/>
          <w:szCs w:val="28"/>
          <w:highlight w:val="none"/>
        </w:rPr>
      </w:pPr>
    </w:p>
    <w:p>
      <w:pPr>
        <w:spacing w:line="480" w:lineRule="exact"/>
        <w:ind w:firstLine="5320" w:firstLineChars="1900"/>
        <w:rPr>
          <w:rFonts w:ascii="仿宋" w:hAnsi="仿宋" w:eastAsia="仿宋"/>
          <w:color w:val="auto"/>
          <w:sz w:val="28"/>
          <w:szCs w:val="28"/>
          <w:highlight w:val="none"/>
        </w:rPr>
      </w:pPr>
    </w:p>
    <w:p>
      <w:pPr>
        <w:spacing w:line="480" w:lineRule="exact"/>
        <w:ind w:firstLine="5320" w:firstLineChars="1900"/>
        <w:rPr>
          <w:rFonts w:ascii="仿宋" w:hAnsi="仿宋" w:eastAsia="仿宋"/>
          <w:color w:val="auto"/>
          <w:sz w:val="28"/>
          <w:szCs w:val="28"/>
          <w:highlight w:val="none"/>
        </w:rPr>
      </w:pPr>
      <w:r>
        <w:rPr>
          <w:rFonts w:hint="eastAsia" w:ascii="仿宋" w:hAnsi="仿宋" w:eastAsia="仿宋"/>
          <w:color w:val="auto"/>
          <w:sz w:val="28"/>
          <w:szCs w:val="28"/>
          <w:highlight w:val="none"/>
        </w:rPr>
        <w:t>药学院</w:t>
      </w:r>
    </w:p>
    <w:p>
      <w:pPr>
        <w:spacing w:line="480" w:lineRule="exact"/>
        <w:ind w:firstLine="4480" w:firstLineChars="1600"/>
        <w:rPr>
          <w:rFonts w:ascii="仿宋" w:hAnsi="仿宋" w:eastAsia="仿宋"/>
          <w:color w:val="auto"/>
          <w:sz w:val="28"/>
          <w:szCs w:val="28"/>
          <w:highlight w:val="none"/>
        </w:rPr>
      </w:pPr>
      <w:r>
        <w:rPr>
          <w:rFonts w:hint="eastAsia" w:ascii="仿宋" w:hAnsi="仿宋" w:eastAsia="仿宋"/>
          <w:color w:val="auto"/>
          <w:sz w:val="28"/>
          <w:szCs w:val="28"/>
          <w:highlight w:val="none"/>
        </w:rPr>
        <w:t>2018年11月20日</w:t>
      </w:r>
    </w:p>
    <w:sectPr>
      <w:pgSz w:w="11906" w:h="16838"/>
      <w:pgMar w:top="1440" w:right="1841"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C2109E6F-0AF1-4661-9A99-E241BB5CE115}"/>
  </w:font>
  <w:font w:name="仿宋">
    <w:panose1 w:val="02010609060101010101"/>
    <w:charset w:val="86"/>
    <w:family w:val="modern"/>
    <w:pitch w:val="default"/>
    <w:sig w:usb0="800002BF" w:usb1="38CF7CFA" w:usb2="00000016" w:usb3="00000000" w:csb0="00040001" w:csb1="00000000"/>
    <w:embedRegular r:id="rId2" w:fontKey="{0C1C1E72-38CA-496B-AA4F-605E7B487C2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06D"/>
    <w:rsid w:val="00002710"/>
    <w:rsid w:val="00004441"/>
    <w:rsid w:val="000106D7"/>
    <w:rsid w:val="000227AA"/>
    <w:rsid w:val="00025C60"/>
    <w:rsid w:val="00026249"/>
    <w:rsid w:val="00041D87"/>
    <w:rsid w:val="00042945"/>
    <w:rsid w:val="000429F2"/>
    <w:rsid w:val="0004556A"/>
    <w:rsid w:val="0005054B"/>
    <w:rsid w:val="00053069"/>
    <w:rsid w:val="000576B4"/>
    <w:rsid w:val="00062F97"/>
    <w:rsid w:val="00064519"/>
    <w:rsid w:val="000723A8"/>
    <w:rsid w:val="00075859"/>
    <w:rsid w:val="0007599C"/>
    <w:rsid w:val="000853DF"/>
    <w:rsid w:val="00087F19"/>
    <w:rsid w:val="000922C6"/>
    <w:rsid w:val="000A1A93"/>
    <w:rsid w:val="000A77BC"/>
    <w:rsid w:val="000C41BD"/>
    <w:rsid w:val="000D02C2"/>
    <w:rsid w:val="000D09F5"/>
    <w:rsid w:val="000E3144"/>
    <w:rsid w:val="000F1FC1"/>
    <w:rsid w:val="0010067B"/>
    <w:rsid w:val="00104B35"/>
    <w:rsid w:val="0013153B"/>
    <w:rsid w:val="001361C7"/>
    <w:rsid w:val="00144DDF"/>
    <w:rsid w:val="0014587D"/>
    <w:rsid w:val="00151DE5"/>
    <w:rsid w:val="00164FF5"/>
    <w:rsid w:val="00180C37"/>
    <w:rsid w:val="00184D9B"/>
    <w:rsid w:val="00187A12"/>
    <w:rsid w:val="00190FC2"/>
    <w:rsid w:val="001965FC"/>
    <w:rsid w:val="001A16BD"/>
    <w:rsid w:val="001A52DE"/>
    <w:rsid w:val="001A6960"/>
    <w:rsid w:val="001C0C08"/>
    <w:rsid w:val="001C2EFE"/>
    <w:rsid w:val="001D142C"/>
    <w:rsid w:val="001D2148"/>
    <w:rsid w:val="001F3486"/>
    <w:rsid w:val="001F39E2"/>
    <w:rsid w:val="001F46AD"/>
    <w:rsid w:val="00202E0C"/>
    <w:rsid w:val="0020347D"/>
    <w:rsid w:val="00210687"/>
    <w:rsid w:val="00211E40"/>
    <w:rsid w:val="002215A6"/>
    <w:rsid w:val="0022392B"/>
    <w:rsid w:val="002307A5"/>
    <w:rsid w:val="00234712"/>
    <w:rsid w:val="00236BCA"/>
    <w:rsid w:val="00236EB9"/>
    <w:rsid w:val="002401C3"/>
    <w:rsid w:val="0024031A"/>
    <w:rsid w:val="00266B38"/>
    <w:rsid w:val="002A5160"/>
    <w:rsid w:val="002A6D1B"/>
    <w:rsid w:val="002B66DF"/>
    <w:rsid w:val="002C2BED"/>
    <w:rsid w:val="002C7C07"/>
    <w:rsid w:val="002E2693"/>
    <w:rsid w:val="002E4A24"/>
    <w:rsid w:val="002E644F"/>
    <w:rsid w:val="002E6901"/>
    <w:rsid w:val="002E7FFD"/>
    <w:rsid w:val="002F1A64"/>
    <w:rsid w:val="002F2ED1"/>
    <w:rsid w:val="002F4A91"/>
    <w:rsid w:val="002F7DBE"/>
    <w:rsid w:val="00300B36"/>
    <w:rsid w:val="003019FB"/>
    <w:rsid w:val="00302E80"/>
    <w:rsid w:val="00314BA0"/>
    <w:rsid w:val="00331D3E"/>
    <w:rsid w:val="00332D09"/>
    <w:rsid w:val="00337E3B"/>
    <w:rsid w:val="00343F5A"/>
    <w:rsid w:val="003442D4"/>
    <w:rsid w:val="003532B0"/>
    <w:rsid w:val="00364723"/>
    <w:rsid w:val="00373B9D"/>
    <w:rsid w:val="003773D2"/>
    <w:rsid w:val="003826BB"/>
    <w:rsid w:val="00383992"/>
    <w:rsid w:val="00383CD1"/>
    <w:rsid w:val="00390AEE"/>
    <w:rsid w:val="00396153"/>
    <w:rsid w:val="003A52CC"/>
    <w:rsid w:val="003B0532"/>
    <w:rsid w:val="003B2159"/>
    <w:rsid w:val="003B470A"/>
    <w:rsid w:val="003B5AE7"/>
    <w:rsid w:val="003B6026"/>
    <w:rsid w:val="003C1D88"/>
    <w:rsid w:val="003C2C2F"/>
    <w:rsid w:val="003D7DA1"/>
    <w:rsid w:val="003F4B4D"/>
    <w:rsid w:val="003F5F60"/>
    <w:rsid w:val="00407F57"/>
    <w:rsid w:val="0041214E"/>
    <w:rsid w:val="00412EED"/>
    <w:rsid w:val="004169C7"/>
    <w:rsid w:val="00424F65"/>
    <w:rsid w:val="00431A8A"/>
    <w:rsid w:val="00431C70"/>
    <w:rsid w:val="00434D56"/>
    <w:rsid w:val="004415D1"/>
    <w:rsid w:val="00450C9F"/>
    <w:rsid w:val="00456883"/>
    <w:rsid w:val="0046211B"/>
    <w:rsid w:val="004704B1"/>
    <w:rsid w:val="004735EC"/>
    <w:rsid w:val="00486289"/>
    <w:rsid w:val="004A5A15"/>
    <w:rsid w:val="004A5C9F"/>
    <w:rsid w:val="004C08B9"/>
    <w:rsid w:val="004C1AB2"/>
    <w:rsid w:val="004C3793"/>
    <w:rsid w:val="004D5796"/>
    <w:rsid w:val="004F17C3"/>
    <w:rsid w:val="005001EE"/>
    <w:rsid w:val="005013EC"/>
    <w:rsid w:val="00521157"/>
    <w:rsid w:val="0052705F"/>
    <w:rsid w:val="00531E5B"/>
    <w:rsid w:val="005410C1"/>
    <w:rsid w:val="005417B4"/>
    <w:rsid w:val="005418E4"/>
    <w:rsid w:val="0054226C"/>
    <w:rsid w:val="0054499B"/>
    <w:rsid w:val="00553EDC"/>
    <w:rsid w:val="00567A37"/>
    <w:rsid w:val="00575327"/>
    <w:rsid w:val="00582F43"/>
    <w:rsid w:val="0059271A"/>
    <w:rsid w:val="005A4DE8"/>
    <w:rsid w:val="005A7818"/>
    <w:rsid w:val="005B0EEF"/>
    <w:rsid w:val="005C072D"/>
    <w:rsid w:val="005C47B7"/>
    <w:rsid w:val="005C7A63"/>
    <w:rsid w:val="005D31AA"/>
    <w:rsid w:val="005D73CA"/>
    <w:rsid w:val="005E3A80"/>
    <w:rsid w:val="005E6CDA"/>
    <w:rsid w:val="005F3E90"/>
    <w:rsid w:val="005F703F"/>
    <w:rsid w:val="006005C9"/>
    <w:rsid w:val="00601E3D"/>
    <w:rsid w:val="006027ED"/>
    <w:rsid w:val="00602F49"/>
    <w:rsid w:val="00617529"/>
    <w:rsid w:val="00634F64"/>
    <w:rsid w:val="00647BD5"/>
    <w:rsid w:val="006579EA"/>
    <w:rsid w:val="00671879"/>
    <w:rsid w:val="00686C23"/>
    <w:rsid w:val="006963AC"/>
    <w:rsid w:val="006A3398"/>
    <w:rsid w:val="006A389C"/>
    <w:rsid w:val="006B13ED"/>
    <w:rsid w:val="006B2F4B"/>
    <w:rsid w:val="006B7A73"/>
    <w:rsid w:val="006C0873"/>
    <w:rsid w:val="006C7200"/>
    <w:rsid w:val="006D4084"/>
    <w:rsid w:val="006E7572"/>
    <w:rsid w:val="006E7787"/>
    <w:rsid w:val="006E7FBA"/>
    <w:rsid w:val="006F14D2"/>
    <w:rsid w:val="006F597E"/>
    <w:rsid w:val="0070388C"/>
    <w:rsid w:val="00703D82"/>
    <w:rsid w:val="00706A7B"/>
    <w:rsid w:val="00706DB9"/>
    <w:rsid w:val="00712301"/>
    <w:rsid w:val="007173C7"/>
    <w:rsid w:val="00722459"/>
    <w:rsid w:val="007257B9"/>
    <w:rsid w:val="00725C17"/>
    <w:rsid w:val="007371A9"/>
    <w:rsid w:val="00747399"/>
    <w:rsid w:val="007632BD"/>
    <w:rsid w:val="00771056"/>
    <w:rsid w:val="0077481A"/>
    <w:rsid w:val="00774DED"/>
    <w:rsid w:val="007837B9"/>
    <w:rsid w:val="00786F7D"/>
    <w:rsid w:val="00790309"/>
    <w:rsid w:val="00795FCD"/>
    <w:rsid w:val="007B5B9F"/>
    <w:rsid w:val="007C3550"/>
    <w:rsid w:val="007D26C1"/>
    <w:rsid w:val="007D7E6C"/>
    <w:rsid w:val="007E431A"/>
    <w:rsid w:val="007E49D2"/>
    <w:rsid w:val="007F66BC"/>
    <w:rsid w:val="00800F82"/>
    <w:rsid w:val="00810372"/>
    <w:rsid w:val="008153A4"/>
    <w:rsid w:val="00816C4D"/>
    <w:rsid w:val="00835766"/>
    <w:rsid w:val="00836B4A"/>
    <w:rsid w:val="0084173E"/>
    <w:rsid w:val="00856A03"/>
    <w:rsid w:val="00880ABD"/>
    <w:rsid w:val="0088175C"/>
    <w:rsid w:val="0088699A"/>
    <w:rsid w:val="008934E5"/>
    <w:rsid w:val="00896894"/>
    <w:rsid w:val="008970A2"/>
    <w:rsid w:val="008A607B"/>
    <w:rsid w:val="008C64C8"/>
    <w:rsid w:val="008D4A34"/>
    <w:rsid w:val="008D5B77"/>
    <w:rsid w:val="008E4778"/>
    <w:rsid w:val="008F2A53"/>
    <w:rsid w:val="009040E9"/>
    <w:rsid w:val="00906EAC"/>
    <w:rsid w:val="0091394A"/>
    <w:rsid w:val="00914987"/>
    <w:rsid w:val="009159CD"/>
    <w:rsid w:val="00943C3B"/>
    <w:rsid w:val="00951427"/>
    <w:rsid w:val="00952FED"/>
    <w:rsid w:val="0095362A"/>
    <w:rsid w:val="00970A86"/>
    <w:rsid w:val="0097474E"/>
    <w:rsid w:val="00986D66"/>
    <w:rsid w:val="009A327B"/>
    <w:rsid w:val="009A71DA"/>
    <w:rsid w:val="009B6C2B"/>
    <w:rsid w:val="009C7673"/>
    <w:rsid w:val="009C78E9"/>
    <w:rsid w:val="009C7B86"/>
    <w:rsid w:val="009D206D"/>
    <w:rsid w:val="009D51FF"/>
    <w:rsid w:val="009D67E2"/>
    <w:rsid w:val="009E0EAA"/>
    <w:rsid w:val="009E5995"/>
    <w:rsid w:val="009F0DA1"/>
    <w:rsid w:val="009F4973"/>
    <w:rsid w:val="009F574A"/>
    <w:rsid w:val="00A044CE"/>
    <w:rsid w:val="00A13F02"/>
    <w:rsid w:val="00A23B20"/>
    <w:rsid w:val="00A25632"/>
    <w:rsid w:val="00A30223"/>
    <w:rsid w:val="00A311AA"/>
    <w:rsid w:val="00A3692A"/>
    <w:rsid w:val="00A445C9"/>
    <w:rsid w:val="00A63B3B"/>
    <w:rsid w:val="00A6785C"/>
    <w:rsid w:val="00A7512D"/>
    <w:rsid w:val="00A84F86"/>
    <w:rsid w:val="00A9027F"/>
    <w:rsid w:val="00A93A7F"/>
    <w:rsid w:val="00A9741E"/>
    <w:rsid w:val="00AA2076"/>
    <w:rsid w:val="00AA22D5"/>
    <w:rsid w:val="00AA3036"/>
    <w:rsid w:val="00AC5EA3"/>
    <w:rsid w:val="00AD0095"/>
    <w:rsid w:val="00AF1F02"/>
    <w:rsid w:val="00AF6E7A"/>
    <w:rsid w:val="00B03121"/>
    <w:rsid w:val="00B04CA0"/>
    <w:rsid w:val="00B057F4"/>
    <w:rsid w:val="00B060A6"/>
    <w:rsid w:val="00B3034B"/>
    <w:rsid w:val="00B363E5"/>
    <w:rsid w:val="00B36985"/>
    <w:rsid w:val="00B40202"/>
    <w:rsid w:val="00B453A0"/>
    <w:rsid w:val="00B54D15"/>
    <w:rsid w:val="00B63C5C"/>
    <w:rsid w:val="00B65EB0"/>
    <w:rsid w:val="00B6602A"/>
    <w:rsid w:val="00B67851"/>
    <w:rsid w:val="00B7343C"/>
    <w:rsid w:val="00BA49E9"/>
    <w:rsid w:val="00BA6CF9"/>
    <w:rsid w:val="00BB489B"/>
    <w:rsid w:val="00BC0885"/>
    <w:rsid w:val="00BC2088"/>
    <w:rsid w:val="00BD5D60"/>
    <w:rsid w:val="00BE163F"/>
    <w:rsid w:val="00BE3CC1"/>
    <w:rsid w:val="00BE7234"/>
    <w:rsid w:val="00BF0610"/>
    <w:rsid w:val="00BF1E44"/>
    <w:rsid w:val="00BF515B"/>
    <w:rsid w:val="00BF7A8F"/>
    <w:rsid w:val="00C0205C"/>
    <w:rsid w:val="00C124E5"/>
    <w:rsid w:val="00C15F54"/>
    <w:rsid w:val="00C25310"/>
    <w:rsid w:val="00C34ED8"/>
    <w:rsid w:val="00C461F3"/>
    <w:rsid w:val="00C56E75"/>
    <w:rsid w:val="00C82FE6"/>
    <w:rsid w:val="00C95B20"/>
    <w:rsid w:val="00CA0B63"/>
    <w:rsid w:val="00CA2E8C"/>
    <w:rsid w:val="00CA42FD"/>
    <w:rsid w:val="00CC4060"/>
    <w:rsid w:val="00CD1DCF"/>
    <w:rsid w:val="00CD23E1"/>
    <w:rsid w:val="00CD37B2"/>
    <w:rsid w:val="00CD6758"/>
    <w:rsid w:val="00CF15C2"/>
    <w:rsid w:val="00CF380C"/>
    <w:rsid w:val="00CF3889"/>
    <w:rsid w:val="00D0208A"/>
    <w:rsid w:val="00D02547"/>
    <w:rsid w:val="00D0364A"/>
    <w:rsid w:val="00D069CB"/>
    <w:rsid w:val="00D07FF8"/>
    <w:rsid w:val="00D10FE6"/>
    <w:rsid w:val="00D208EB"/>
    <w:rsid w:val="00D2181E"/>
    <w:rsid w:val="00D256AC"/>
    <w:rsid w:val="00D550A3"/>
    <w:rsid w:val="00D55722"/>
    <w:rsid w:val="00D57B9F"/>
    <w:rsid w:val="00D75052"/>
    <w:rsid w:val="00D8326B"/>
    <w:rsid w:val="00DA4E63"/>
    <w:rsid w:val="00DB0E08"/>
    <w:rsid w:val="00DB3A11"/>
    <w:rsid w:val="00DC37B7"/>
    <w:rsid w:val="00DC6738"/>
    <w:rsid w:val="00DD3E70"/>
    <w:rsid w:val="00DE424B"/>
    <w:rsid w:val="00DE5AA5"/>
    <w:rsid w:val="00DE5FC1"/>
    <w:rsid w:val="00E04BF0"/>
    <w:rsid w:val="00E06536"/>
    <w:rsid w:val="00E160E6"/>
    <w:rsid w:val="00E175E4"/>
    <w:rsid w:val="00E322E2"/>
    <w:rsid w:val="00E32381"/>
    <w:rsid w:val="00E37DD9"/>
    <w:rsid w:val="00E42285"/>
    <w:rsid w:val="00E46133"/>
    <w:rsid w:val="00E63BC3"/>
    <w:rsid w:val="00E66403"/>
    <w:rsid w:val="00E83481"/>
    <w:rsid w:val="00E85CEE"/>
    <w:rsid w:val="00E91300"/>
    <w:rsid w:val="00EB0CA5"/>
    <w:rsid w:val="00EC0491"/>
    <w:rsid w:val="00EC7F77"/>
    <w:rsid w:val="00ED464A"/>
    <w:rsid w:val="00ED69D7"/>
    <w:rsid w:val="00EE75C7"/>
    <w:rsid w:val="00EF21AC"/>
    <w:rsid w:val="00F03C23"/>
    <w:rsid w:val="00F042CA"/>
    <w:rsid w:val="00F16BC6"/>
    <w:rsid w:val="00F22543"/>
    <w:rsid w:val="00F278FD"/>
    <w:rsid w:val="00F324B8"/>
    <w:rsid w:val="00F44C3D"/>
    <w:rsid w:val="00F46459"/>
    <w:rsid w:val="00F54995"/>
    <w:rsid w:val="00F5545A"/>
    <w:rsid w:val="00F61851"/>
    <w:rsid w:val="00F63B34"/>
    <w:rsid w:val="00F66B03"/>
    <w:rsid w:val="00F735FC"/>
    <w:rsid w:val="00F804E0"/>
    <w:rsid w:val="00F81F54"/>
    <w:rsid w:val="00F92C09"/>
    <w:rsid w:val="00F979F1"/>
    <w:rsid w:val="00FA178A"/>
    <w:rsid w:val="00FA5600"/>
    <w:rsid w:val="00FD39D0"/>
    <w:rsid w:val="00FE1E81"/>
    <w:rsid w:val="00FE62D2"/>
    <w:rsid w:val="00FF20E7"/>
    <w:rsid w:val="3A2152A5"/>
    <w:rsid w:val="621032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nhideWhenUsed="0" w:uiPriority="0" w:semiHidden="0" w:name="Document Map"/>
    <w:lsdException w:uiPriority="0" w:name="Plain Text"/>
    <w:lsdException w:uiPriority="0" w:name="E-mail Signature"/>
    <w:lsdException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14">
    <w:name w:val="Normal Table"/>
    <w:semiHidden/>
    <w:unhideWhenUsed/>
    <w:uiPriority w:val="99"/>
    <w:tblPr>
      <w:tblLayout w:type="fixed"/>
      <w:tblCellMar>
        <w:top w:w="0" w:type="dxa"/>
        <w:left w:w="108" w:type="dxa"/>
        <w:bottom w:w="0" w:type="dxa"/>
        <w:right w:w="108" w:type="dxa"/>
      </w:tblCellMar>
    </w:tblPr>
  </w:style>
  <w:style w:type="paragraph" w:styleId="2">
    <w:name w:val="annotation subject"/>
    <w:basedOn w:val="3"/>
    <w:next w:val="3"/>
    <w:link w:val="20"/>
    <w:uiPriority w:val="0"/>
    <w:rPr>
      <w:b/>
      <w:bCs/>
    </w:rPr>
  </w:style>
  <w:style w:type="paragraph" w:styleId="3">
    <w:name w:val="annotation text"/>
    <w:basedOn w:val="1"/>
    <w:link w:val="19"/>
    <w:uiPriority w:val="0"/>
    <w:pPr>
      <w:jc w:val="left"/>
    </w:pPr>
  </w:style>
  <w:style w:type="paragraph" w:styleId="4">
    <w:name w:val="Document Map"/>
    <w:basedOn w:val="1"/>
    <w:link w:val="21"/>
    <w:uiPriority w:val="0"/>
    <w:rPr>
      <w:rFonts w:ascii="宋体"/>
      <w:sz w:val="18"/>
      <w:szCs w:val="18"/>
    </w:rPr>
  </w:style>
  <w:style w:type="paragraph" w:styleId="5">
    <w:name w:val="Body Text Indent"/>
    <w:basedOn w:val="1"/>
    <w:link w:val="22"/>
    <w:qFormat/>
    <w:uiPriority w:val="0"/>
    <w:pPr>
      <w:spacing w:line="580" w:lineRule="exact"/>
      <w:ind w:firstLine="538" w:firstLineChars="192"/>
    </w:pPr>
    <w:rPr>
      <w:sz w:val="28"/>
    </w:rPr>
  </w:style>
  <w:style w:type="paragraph" w:styleId="6">
    <w:name w:val="Balloon Text"/>
    <w:basedOn w:val="1"/>
    <w:link w:val="18"/>
    <w:uiPriority w:val="0"/>
    <w:rPr>
      <w:sz w:val="18"/>
      <w:szCs w:val="18"/>
    </w:rPr>
  </w:style>
  <w:style w:type="paragraph" w:styleId="7">
    <w:name w:val="footer"/>
    <w:basedOn w:val="1"/>
    <w:link w:val="17"/>
    <w:uiPriority w:val="0"/>
    <w:pPr>
      <w:tabs>
        <w:tab w:val="center" w:pos="4153"/>
        <w:tab w:val="right" w:pos="8306"/>
      </w:tabs>
      <w:snapToGrid w:val="0"/>
      <w:jc w:val="left"/>
    </w:pPr>
    <w:rPr>
      <w:sz w:val="18"/>
      <w:szCs w:val="18"/>
    </w:rPr>
  </w:style>
  <w:style w:type="paragraph" w:styleId="8">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iPriority w:val="99"/>
    <w:pPr>
      <w:widowControl/>
      <w:spacing w:before="100" w:beforeAutospacing="1" w:after="100" w:afterAutospacing="1"/>
      <w:jc w:val="left"/>
    </w:pPr>
    <w:rPr>
      <w:rFonts w:ascii="宋体" w:hAnsi="宋体"/>
      <w:kern w:val="0"/>
      <w:sz w:val="28"/>
    </w:rPr>
  </w:style>
  <w:style w:type="character" w:styleId="11">
    <w:name w:val="Strong"/>
    <w:qFormat/>
    <w:uiPriority w:val="0"/>
    <w:rPr>
      <w:b/>
      <w:bCs/>
    </w:rPr>
  </w:style>
  <w:style w:type="character" w:styleId="12">
    <w:name w:val="Hyperlink"/>
    <w:uiPriority w:val="0"/>
    <w:rPr>
      <w:color w:val="0000FF"/>
      <w:u w:val="single"/>
    </w:rPr>
  </w:style>
  <w:style w:type="character" w:styleId="13">
    <w:name w:val="annotation reference"/>
    <w:uiPriority w:val="0"/>
    <w:rPr>
      <w:sz w:val="21"/>
      <w:szCs w:val="21"/>
    </w:rPr>
  </w:style>
  <w:style w:type="character" w:customStyle="1" w:styleId="15">
    <w:name w:val="style121"/>
    <w:uiPriority w:val="0"/>
    <w:rPr>
      <w:b/>
      <w:bCs/>
      <w:sz w:val="22"/>
      <w:szCs w:val="22"/>
    </w:rPr>
  </w:style>
  <w:style w:type="character" w:customStyle="1" w:styleId="16">
    <w:name w:val="页眉 Char"/>
    <w:link w:val="8"/>
    <w:uiPriority w:val="0"/>
    <w:rPr>
      <w:kern w:val="2"/>
      <w:sz w:val="18"/>
      <w:szCs w:val="18"/>
    </w:rPr>
  </w:style>
  <w:style w:type="character" w:customStyle="1" w:styleId="17">
    <w:name w:val="页脚 Char"/>
    <w:link w:val="7"/>
    <w:uiPriority w:val="0"/>
    <w:rPr>
      <w:kern w:val="2"/>
      <w:sz w:val="18"/>
      <w:szCs w:val="18"/>
    </w:rPr>
  </w:style>
  <w:style w:type="character" w:customStyle="1" w:styleId="18">
    <w:name w:val="批注框文本 Char"/>
    <w:link w:val="6"/>
    <w:uiPriority w:val="0"/>
    <w:rPr>
      <w:kern w:val="2"/>
      <w:sz w:val="18"/>
      <w:szCs w:val="18"/>
    </w:rPr>
  </w:style>
  <w:style w:type="character" w:customStyle="1" w:styleId="19">
    <w:name w:val="批注文字 Char"/>
    <w:link w:val="3"/>
    <w:uiPriority w:val="0"/>
    <w:rPr>
      <w:kern w:val="2"/>
      <w:sz w:val="21"/>
      <w:szCs w:val="24"/>
    </w:rPr>
  </w:style>
  <w:style w:type="character" w:customStyle="1" w:styleId="20">
    <w:name w:val="批注主题 Char"/>
    <w:link w:val="2"/>
    <w:uiPriority w:val="0"/>
    <w:rPr>
      <w:b/>
      <w:bCs/>
      <w:kern w:val="2"/>
      <w:sz w:val="21"/>
      <w:szCs w:val="24"/>
    </w:rPr>
  </w:style>
  <w:style w:type="character" w:customStyle="1" w:styleId="21">
    <w:name w:val="文档结构图 Char"/>
    <w:link w:val="4"/>
    <w:uiPriority w:val="0"/>
    <w:rPr>
      <w:rFonts w:ascii="宋体"/>
      <w:kern w:val="2"/>
      <w:sz w:val="18"/>
      <w:szCs w:val="18"/>
    </w:rPr>
  </w:style>
  <w:style w:type="character" w:customStyle="1" w:styleId="22">
    <w:name w:val="正文文本缩进 Char"/>
    <w:basedOn w:val="10"/>
    <w:link w:val="5"/>
    <w:uiPriority w:val="0"/>
    <w:rPr>
      <w:kern w:val="2"/>
      <w:sz w:val="28"/>
      <w:szCs w:val="24"/>
    </w:rPr>
  </w:style>
  <w:style w:type="paragraph" w:customStyle="1" w:styleId="23">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ED2E91-78FB-42F8-9CB4-9F4E0884F65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5</Pages>
  <Words>437</Words>
  <Characters>2493</Characters>
  <Lines>20</Lines>
  <Paragraphs>5</Paragraphs>
  <TotalTime>71</TotalTime>
  <ScaleCrop>false</ScaleCrop>
  <LinksUpToDate>false</LinksUpToDate>
  <CharactersWithSpaces>2925</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2018-11-19T08:39:00Z</dcterms:created>
  <dc:creator>YJSC_KQ</dc:creator>
  <cp:lastModifiedBy>小菲</cp:lastModifiedBy>
  <cp:lastPrinted>2014-09-15T01:09:00Z</cp:lastPrinted>
  <dcterms:modified xsi:type="dcterms:W3CDTF">2018-11-20T08:42:02Z</dcterms:modified>
  <dc:title>南京医科大学博士研究生招生“申请-审核”制实施办法（试行）</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