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南京医科大学第一临床医学院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2020年</w:t>
      </w:r>
      <w:r>
        <w:rPr>
          <w:rFonts w:hint="eastAsia" w:ascii="仿宋" w:hAnsi="仿宋" w:eastAsia="仿宋"/>
          <w:b/>
          <w:sz w:val="36"/>
          <w:szCs w:val="36"/>
        </w:rPr>
        <w:t>“申请-考核”制博士生招生实施细则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探索优秀创新人才的选拔机制和模式，以提高研究生选拔质量为核心，强化对考生科研创新和专业学术潜质的考察，培养具有独立从事科学研究工作的能力，在科学和专门技术上做出创造性成果的高级医学专门人才为目标。根据国家政策和南京医科大学研究生院《南京医科大学博士研究生招生“申请-考核”制实施办法》，本着公开、公正、公平的原则，制定第一临床医学院实施细则，具体如下：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一、招生类型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1、学术学位博士研究生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2、专业学位博士研究生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二、资格初审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学院根据申请者所提交的材料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（纸质材料截止时间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2019年12月16日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对其报考资格进行初审，并以学院为单位成立“资格审查小组”，组员为3-5位副高及以上职称专家，对初审通过的每个申请者的材料进行认真评审并评分，以评分方式，按一定比例（每位招考导师不超过1:5）和择优推荐原则，确定入围综合考核的申请者名单，资格审查包含：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1、拥护中国共产党的领导，具有正确的政治方向，热爱祖国，身体健康，愿意为社会主义现代化建设服务，遵纪守法，品行端正。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2、学术背景20%（包括学习经历，参与的研究课题等）、硕士学习经历如满足以下条件之一，将予以适度加分：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（1）全国重点大学（世界一流大学建设高校或世界一流学科建设高校）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（2）全国第四轮学科评估排名为B+以上的学科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（3）重要科研院所（包括中科院、国家各部委、军工系统等下属科研院所）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（4）国外一流大学（须取得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教育部留学服务中心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的学历学位认证报告）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3、硕士期间在校学习成绩和外语水平20%（学习成绩占10%，主要以考生硕士阶段成绩优秀率、及格率进行量化打分；外语成绩占10%，将相关英语水平等级考试的分数折算成百分制比较。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大学英语六级考试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（CET-6）≥568分，或有连续3个月以上赴海外研修经历将酌情加分。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4、学术成果40%，考核项目主要包括：（1）在国内期刊发表论文的刊物等级、本人排名；（2）发表SCI论文的篇数、IF（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按发表当年计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）、本人排名；（3）著作、专利，本人排名；（4）科研获奖情况。报考专业学位博士研究生除上述考核项目外，执业医师资格考试成绩≥450分，将予以适度加分。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、综合素质20%，主要包括思想政治情况、社会工作实践情况、个人获奖情况等。</w:t>
      </w:r>
    </w:p>
    <w:p>
      <w:pPr>
        <w:spacing w:line="52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三、综合考核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1.综合笔试（满分100分）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12月22日（周日）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9:00-10:30   医学博士英语（满分50分）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10:30-12:00  专业课（满分50分）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地点：</w:t>
      </w:r>
      <w:r>
        <w:rPr>
          <w:rFonts w:hint="eastAsia" w:ascii="仿宋" w:hAnsi="仿宋" w:eastAsia="仿宋"/>
          <w:sz w:val="28"/>
          <w:szCs w:val="28"/>
        </w:rPr>
        <w:t>南京医科大学第一附属医院（江苏省人民医院）内科楼（5号楼）1楼会议室参加综合笔试。地址:江苏省南京市广州路300号。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形式：闭卷，时间3小时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内容：①医学博士英语测试（占50%）：包括</w:t>
      </w:r>
      <w:r>
        <w:rPr>
          <w:rFonts w:ascii="仿宋" w:hAnsi="仿宋" w:eastAsia="仿宋"/>
          <w:sz w:val="28"/>
          <w:szCs w:val="28"/>
        </w:rPr>
        <w:t>词语用法、完型填空、阅读理解和书面表达</w:t>
      </w:r>
      <w:r>
        <w:rPr>
          <w:rFonts w:hint="eastAsia" w:ascii="仿宋" w:hAnsi="仿宋" w:eastAsia="仿宋"/>
          <w:sz w:val="28"/>
          <w:szCs w:val="28"/>
        </w:rPr>
        <w:t>；②专业课测试（占50%）：学术型博士研究生考核内容主要为基础专业课，临床医学各二级学科具体考试科目如下：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4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二级学科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基础专业课考试科目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、老年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外科学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、肿瘤学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医学技术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生物化学与分子生物学</w:t>
            </w:r>
          </w:p>
        </w:tc>
      </w:tr>
    </w:tbl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专业学位博士研究生考核内容主要为临床专业课，临床医学各二级学科（包含三级学科）具体考试科目如下：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4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二级学科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临床专业课考试科目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肿瘤学、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老年医学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内科学公共题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，二级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、三级学科选做题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外科学公共题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三级学科选做题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皮肤病与性病学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眼科学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麻醉学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急诊医学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★综合笔试总分合格线：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0分。笔试不合格者，不予录取。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参加笔试</w:t>
      </w:r>
      <w:r>
        <w:rPr>
          <w:rFonts w:hint="eastAsia" w:ascii="仿宋" w:hAnsi="仿宋" w:eastAsia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sz w:val="28"/>
          <w:szCs w:val="28"/>
        </w:rPr>
        <w:t>携带身份证和学生证（应届生）原件，不得携带任何与考试相关的纸质材料及电子设备进入考场。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拟于201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年12月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日公布综合笔试合格考生名单，请关注南京医科大学第一临床医学院“通知公告”http://dylc.njmu.edu.cn/。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2.综合能力考核（满分100分）</w:t>
      </w:r>
    </w:p>
    <w:p>
      <w:pPr>
        <w:spacing w:line="360" w:lineRule="auto"/>
        <w:ind w:firstLine="56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:2019年12月25日-2020年1月3日（具体时间待定，学院、报考导师另行通知）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科研设计考核内容（60分）：①外语应用能力：英语文献翻译和解读；②专业素质：学术规范及伦理道德、攻读博士学位研究生课题计划；③逻辑能力：基础数据分析和总结。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实践操作能力考核（40分）：（1）学术型博士研究生考核内容：熟练掌握</w:t>
      </w:r>
      <w:r>
        <w:rPr>
          <w:rFonts w:ascii="Times New Roman" w:hAnsi="Times New Roman" w:eastAsia="仿宋" w:cs="Times New Roman"/>
          <w:sz w:val="28"/>
          <w:szCs w:val="28"/>
        </w:rPr>
        <w:t>RT-PCR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Western blot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细胞培养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ELISA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流式细胞术等实验技术，掌握</w:t>
      </w:r>
      <w:r>
        <w:rPr>
          <w:rFonts w:ascii="Times New Roman" w:hAnsi="Times New Roman" w:eastAsia="仿宋" w:cs="Times New Roman"/>
          <w:sz w:val="28"/>
          <w:szCs w:val="28"/>
        </w:rPr>
        <w:t>S</w:t>
      </w:r>
      <w:r>
        <w:rPr>
          <w:rFonts w:hint="eastAsia" w:ascii="Times New Roman" w:hAnsi="Times New Roman" w:eastAsia="仿宋" w:cs="Times New Roman"/>
          <w:sz w:val="28"/>
          <w:szCs w:val="28"/>
        </w:rPr>
        <w:t>PSS、</w:t>
      </w:r>
      <w:r>
        <w:rPr>
          <w:rFonts w:ascii="Times New Roman" w:hAnsi="Times New Roman" w:eastAsia="仿宋" w:cs="Times New Roman"/>
          <w:sz w:val="28"/>
          <w:szCs w:val="28"/>
        </w:rPr>
        <w:t>Graph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Photoshop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Adobe Illustrator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Endnote</w:t>
      </w:r>
      <w:r>
        <w:rPr>
          <w:rFonts w:hint="eastAsia" w:ascii="仿宋" w:hAnsi="仿宋" w:eastAsia="仿宋"/>
          <w:sz w:val="28"/>
          <w:szCs w:val="28"/>
        </w:rPr>
        <w:t>等软件应用。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专业学位博士研究生考核内容：</w:t>
      </w:r>
      <w:r>
        <w:rPr>
          <w:rFonts w:hint="eastAsia" w:ascii="仿宋" w:hAnsi="仿宋" w:eastAsia="仿宋"/>
          <w:sz w:val="28"/>
          <w:szCs w:val="28"/>
          <w:lang w:eastAsia="zh-CN"/>
        </w:rPr>
        <w:t>临床科研设计、临床技能考核（</w:t>
      </w:r>
      <w:r>
        <w:rPr>
          <w:rFonts w:hint="eastAsia" w:ascii="仿宋" w:hAnsi="仿宋" w:eastAsia="仿宋"/>
          <w:sz w:val="28"/>
          <w:szCs w:val="28"/>
        </w:rPr>
        <w:t>具体考核内容及标准</w:t>
      </w:r>
      <w:r>
        <w:rPr>
          <w:rFonts w:hint="eastAsia" w:ascii="仿宋" w:hAnsi="仿宋" w:eastAsia="仿宋"/>
          <w:sz w:val="28"/>
          <w:szCs w:val="28"/>
          <w:lang w:eastAsia="zh-CN"/>
        </w:rPr>
        <w:t>可参考附件相关内容）</w:t>
      </w:r>
      <w:r>
        <w:rPr>
          <w:rFonts w:hint="eastAsia" w:ascii="仿宋" w:hAnsi="仿宋" w:eastAsia="仿宋"/>
          <w:sz w:val="28"/>
          <w:szCs w:val="28"/>
        </w:rPr>
        <w:t>，由报考导师统一组织</w:t>
      </w:r>
      <w:r>
        <w:rPr>
          <w:rFonts w:hint="eastAsia" w:ascii="仿宋" w:hAnsi="仿宋" w:eastAsia="仿宋"/>
          <w:sz w:val="28"/>
          <w:szCs w:val="28"/>
          <w:lang w:eastAsia="zh-CN"/>
        </w:rPr>
        <w:t>并完成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思想品德考核：</w:t>
      </w:r>
      <w:r>
        <w:rPr>
          <w:rFonts w:hint="eastAsia" w:ascii="仿宋" w:hAnsi="仿宋" w:eastAsia="仿宋"/>
          <w:sz w:val="28"/>
          <w:szCs w:val="28"/>
          <w:lang w:eastAsia="zh-CN"/>
        </w:rPr>
        <w:t>政治素质、个</w:t>
      </w:r>
      <w:r>
        <w:rPr>
          <w:rFonts w:hint="eastAsia" w:ascii="仿宋" w:hAnsi="仿宋" w:eastAsia="仿宋"/>
          <w:sz w:val="28"/>
          <w:szCs w:val="28"/>
        </w:rPr>
        <w:t>人品性、科研兴趣和态度等。</w:t>
      </w:r>
    </w:p>
    <w:p>
      <w:pPr>
        <w:spacing w:line="360" w:lineRule="auto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报考导师根据考生</w:t>
      </w:r>
      <w:r>
        <w:rPr>
          <w:rFonts w:hint="eastAsia" w:ascii="仿宋" w:hAnsi="仿宋" w:eastAsia="仿宋"/>
          <w:sz w:val="28"/>
          <w:szCs w:val="28"/>
          <w:lang w:eastAsia="zh-CN"/>
        </w:rPr>
        <w:t>临床科研设计和临床技能考核</w:t>
      </w:r>
      <w:r>
        <w:rPr>
          <w:rFonts w:hint="eastAsia" w:ascii="仿宋" w:hAnsi="仿宋" w:eastAsia="仿宋"/>
          <w:sz w:val="28"/>
          <w:szCs w:val="28"/>
        </w:rPr>
        <w:t>实际情况对考生进行评分，并填写综合能力考核评分栏。</w:t>
      </w:r>
    </w:p>
    <w:p>
      <w:pPr>
        <w:spacing w:line="360" w:lineRule="auto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★综合能力考核合格线：60分。综合能力考核不合格者、思想品德考核不合格者，均不予录取。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3.综合答辩（满分100分）</w:t>
      </w:r>
    </w:p>
    <w:p>
      <w:pPr>
        <w:spacing w:line="360" w:lineRule="auto"/>
        <w:ind w:firstLine="56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2020年1月3日-1月10日（具体时间待定，学院另行通知）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学院组织成立综合答辩专家小组，根据考生报考</w:t>
      </w:r>
      <w:r>
        <w:rPr>
          <w:rFonts w:hint="eastAsia" w:ascii="仿宋" w:hAnsi="仿宋" w:eastAsia="仿宋"/>
          <w:sz w:val="28"/>
          <w:szCs w:val="28"/>
          <w:lang w:eastAsia="zh-CN"/>
        </w:rPr>
        <w:t>学位</w:t>
      </w:r>
      <w:r>
        <w:rPr>
          <w:rFonts w:hint="eastAsia" w:ascii="仿宋" w:hAnsi="仿宋" w:eastAsia="仿宋"/>
          <w:sz w:val="28"/>
          <w:szCs w:val="28"/>
        </w:rPr>
        <w:t>类型</w:t>
      </w:r>
      <w:r>
        <w:rPr>
          <w:rFonts w:hint="eastAsia" w:ascii="仿宋" w:hAnsi="仿宋" w:eastAsia="仿宋"/>
          <w:sz w:val="28"/>
          <w:szCs w:val="28"/>
          <w:lang w:eastAsia="zh-CN"/>
        </w:rPr>
        <w:t>及专业</w:t>
      </w:r>
      <w:r>
        <w:rPr>
          <w:rFonts w:hint="eastAsia" w:ascii="仿宋" w:hAnsi="仿宋" w:eastAsia="仿宋"/>
          <w:sz w:val="28"/>
          <w:szCs w:val="28"/>
        </w:rPr>
        <w:t>情况分组别对考生进行考核，每组答辩专家不少于5位博士生导师，其中至少3位为学术学位博士生导师，专家组对考生逐一考核，考生需准备幻灯汇报，每人</w:t>
      </w:r>
      <w:r>
        <w:rPr>
          <w:rFonts w:hint="eastAsia" w:ascii="仿宋" w:hAnsi="仿宋" w:eastAsia="仿宋"/>
          <w:sz w:val="28"/>
          <w:szCs w:val="28"/>
          <w:lang w:eastAsia="zh-CN"/>
        </w:rPr>
        <w:t>答辩</w:t>
      </w:r>
      <w:r>
        <w:rPr>
          <w:rFonts w:hint="eastAsia" w:ascii="仿宋" w:hAnsi="仿宋" w:eastAsia="仿宋"/>
          <w:sz w:val="28"/>
          <w:szCs w:val="28"/>
        </w:rPr>
        <w:t>不少于10分钟。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内容：</w:t>
      </w:r>
      <w:r>
        <w:rPr>
          <w:rFonts w:ascii="仿宋" w:hAnsi="仿宋" w:eastAsia="仿宋"/>
          <w:sz w:val="28"/>
          <w:szCs w:val="28"/>
        </w:rPr>
        <w:t>重点考核考生</w:t>
      </w:r>
      <w:r>
        <w:rPr>
          <w:rFonts w:hint="eastAsia" w:ascii="仿宋" w:hAnsi="仿宋" w:eastAsia="仿宋"/>
          <w:sz w:val="28"/>
          <w:szCs w:val="28"/>
        </w:rPr>
        <w:t>专业综合知识与技能、专业英语（含口语、听力）、综合素质（创新能力、心理素质、思维表达等）、报考专业</w:t>
      </w:r>
      <w:r>
        <w:rPr>
          <w:rFonts w:ascii="仿宋" w:hAnsi="仿宋" w:eastAsia="仿宋"/>
          <w:sz w:val="28"/>
          <w:szCs w:val="28"/>
        </w:rPr>
        <w:t>最新研究动态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四、录取工作</w:t>
      </w:r>
    </w:p>
    <w:p>
      <w:pPr>
        <w:spacing w:line="360" w:lineRule="auto"/>
        <w:ind w:firstLine="63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学院研究生招生工作领导小组</w:t>
      </w:r>
      <w:r>
        <w:rPr>
          <w:rFonts w:hint="eastAsia" w:ascii="仿宋" w:hAnsi="仿宋" w:eastAsia="仿宋"/>
          <w:sz w:val="28"/>
          <w:szCs w:val="28"/>
        </w:rPr>
        <w:t>根据综合考核</w:t>
      </w:r>
      <w:r>
        <w:rPr>
          <w:rFonts w:hint="eastAsia" w:ascii="仿宋" w:hAnsi="仿宋" w:eastAsia="仿宋"/>
          <w:sz w:val="28"/>
          <w:szCs w:val="28"/>
          <w:lang w:eastAsia="zh-CN"/>
        </w:rPr>
        <w:t>结果</w:t>
      </w:r>
      <w:r>
        <w:rPr>
          <w:rFonts w:ascii="仿宋" w:hAnsi="仿宋" w:eastAsia="仿宋" w:cs="宋体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</w:rPr>
        <w:t>按照择优录取的原则，</w:t>
      </w:r>
      <w:r>
        <w:rPr>
          <w:rFonts w:ascii="仿宋" w:hAnsi="仿宋" w:eastAsia="仿宋"/>
          <w:sz w:val="28"/>
          <w:szCs w:val="28"/>
        </w:rPr>
        <w:t>审议</w:t>
      </w:r>
      <w:r>
        <w:rPr>
          <w:rFonts w:ascii="仿宋" w:hAnsi="仿宋" w:eastAsia="仿宋" w:cs="宋体"/>
          <w:kern w:val="0"/>
          <w:sz w:val="28"/>
          <w:szCs w:val="28"/>
        </w:rPr>
        <w:t>确定拟录</w:t>
      </w:r>
      <w:r>
        <w:rPr>
          <w:rFonts w:ascii="仿宋" w:hAnsi="仿宋" w:eastAsia="仿宋"/>
          <w:sz w:val="28"/>
          <w:szCs w:val="28"/>
        </w:rPr>
        <w:t>取名单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在学院网上公示。考生对公示情况有异议可向学院或研究生院提出申诉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63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公示结束后，学院将拟录取名单连同考核相关表格及材料报研究生院，经</w:t>
      </w:r>
      <w:r>
        <w:rPr>
          <w:rFonts w:hint="eastAsia" w:ascii="仿宋" w:hAnsi="仿宋" w:eastAsia="仿宋"/>
          <w:sz w:val="28"/>
          <w:szCs w:val="28"/>
        </w:rPr>
        <w:t>研究生院审核通过后，网上公示拟录取博士生名单，经体检、政审、调档等流程后，由研究生院向拟录取新生发录取通知书。</w:t>
      </w:r>
    </w:p>
    <w:p>
      <w:pPr>
        <w:spacing w:line="520" w:lineRule="exact"/>
        <w:ind w:firstLine="3640" w:firstLineChars="13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/>
          <w:sz w:val="28"/>
          <w:szCs w:val="28"/>
        </w:rPr>
        <w:t>住院医师规范化培训结业实践技能考核指导标准（试行）</w:t>
      </w:r>
    </w:p>
    <w:p>
      <w:pPr>
        <w:spacing w:line="520" w:lineRule="exact"/>
        <w:ind w:firstLine="630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63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第一临床医学院</w:t>
      </w:r>
    </w:p>
    <w:p>
      <w:pPr>
        <w:spacing w:line="520" w:lineRule="exact"/>
        <w:ind w:firstLine="3640" w:firstLineChars="13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B4"/>
    <w:rsid w:val="00043269"/>
    <w:rsid w:val="000529B8"/>
    <w:rsid w:val="00063CEE"/>
    <w:rsid w:val="000722E0"/>
    <w:rsid w:val="000E2A6E"/>
    <w:rsid w:val="001048E4"/>
    <w:rsid w:val="00114C68"/>
    <w:rsid w:val="00197E4D"/>
    <w:rsid w:val="001A1570"/>
    <w:rsid w:val="001E16BD"/>
    <w:rsid w:val="001E7D04"/>
    <w:rsid w:val="001F3D51"/>
    <w:rsid w:val="001F501E"/>
    <w:rsid w:val="002127A4"/>
    <w:rsid w:val="002137A7"/>
    <w:rsid w:val="00227C8F"/>
    <w:rsid w:val="00237FF9"/>
    <w:rsid w:val="002B5562"/>
    <w:rsid w:val="002C11D8"/>
    <w:rsid w:val="002E215D"/>
    <w:rsid w:val="002F3B56"/>
    <w:rsid w:val="00313711"/>
    <w:rsid w:val="003158B0"/>
    <w:rsid w:val="00335773"/>
    <w:rsid w:val="003372F7"/>
    <w:rsid w:val="00352850"/>
    <w:rsid w:val="0039065B"/>
    <w:rsid w:val="003C0C05"/>
    <w:rsid w:val="003C2A0B"/>
    <w:rsid w:val="003D1573"/>
    <w:rsid w:val="003E57EA"/>
    <w:rsid w:val="00412BD8"/>
    <w:rsid w:val="00436957"/>
    <w:rsid w:val="00443E6F"/>
    <w:rsid w:val="004443BF"/>
    <w:rsid w:val="00462A1A"/>
    <w:rsid w:val="00484A60"/>
    <w:rsid w:val="00493501"/>
    <w:rsid w:val="004C6A74"/>
    <w:rsid w:val="004E6BB4"/>
    <w:rsid w:val="0051303B"/>
    <w:rsid w:val="00526C88"/>
    <w:rsid w:val="005E71BC"/>
    <w:rsid w:val="00606474"/>
    <w:rsid w:val="00635741"/>
    <w:rsid w:val="006430B7"/>
    <w:rsid w:val="00645D9B"/>
    <w:rsid w:val="0067144A"/>
    <w:rsid w:val="006A0CB5"/>
    <w:rsid w:val="006B47D2"/>
    <w:rsid w:val="006C496B"/>
    <w:rsid w:val="006E7F1A"/>
    <w:rsid w:val="006F694E"/>
    <w:rsid w:val="00702B07"/>
    <w:rsid w:val="0071267F"/>
    <w:rsid w:val="00737E3E"/>
    <w:rsid w:val="00744B74"/>
    <w:rsid w:val="00773EDB"/>
    <w:rsid w:val="007C2DF7"/>
    <w:rsid w:val="007F2F24"/>
    <w:rsid w:val="008163DB"/>
    <w:rsid w:val="00872F8D"/>
    <w:rsid w:val="008A231C"/>
    <w:rsid w:val="00913ABC"/>
    <w:rsid w:val="00983680"/>
    <w:rsid w:val="009C2C67"/>
    <w:rsid w:val="00A36365"/>
    <w:rsid w:val="00A82945"/>
    <w:rsid w:val="00A86393"/>
    <w:rsid w:val="00AB75EF"/>
    <w:rsid w:val="00AC32AC"/>
    <w:rsid w:val="00B11AC9"/>
    <w:rsid w:val="00B12561"/>
    <w:rsid w:val="00B4162E"/>
    <w:rsid w:val="00B623AA"/>
    <w:rsid w:val="00B746F5"/>
    <w:rsid w:val="00B83476"/>
    <w:rsid w:val="00B85C31"/>
    <w:rsid w:val="00BB011E"/>
    <w:rsid w:val="00BB618A"/>
    <w:rsid w:val="00BC0D42"/>
    <w:rsid w:val="00BD6616"/>
    <w:rsid w:val="00C2635F"/>
    <w:rsid w:val="00C32FEC"/>
    <w:rsid w:val="00C410C9"/>
    <w:rsid w:val="00C95C81"/>
    <w:rsid w:val="00CB66DA"/>
    <w:rsid w:val="00CD2401"/>
    <w:rsid w:val="00D1030E"/>
    <w:rsid w:val="00D814BB"/>
    <w:rsid w:val="00D85771"/>
    <w:rsid w:val="00D971AC"/>
    <w:rsid w:val="00DF0DD9"/>
    <w:rsid w:val="00E14751"/>
    <w:rsid w:val="00E15D2A"/>
    <w:rsid w:val="00E178EC"/>
    <w:rsid w:val="00E55265"/>
    <w:rsid w:val="00E72889"/>
    <w:rsid w:val="00E80544"/>
    <w:rsid w:val="00EA0D65"/>
    <w:rsid w:val="00EB111C"/>
    <w:rsid w:val="00EC7D42"/>
    <w:rsid w:val="00F013BB"/>
    <w:rsid w:val="00F52AAA"/>
    <w:rsid w:val="00FB0CA9"/>
    <w:rsid w:val="26C14B9C"/>
    <w:rsid w:val="27417413"/>
    <w:rsid w:val="30203D6C"/>
    <w:rsid w:val="30FA1893"/>
    <w:rsid w:val="326725A9"/>
    <w:rsid w:val="399122A3"/>
    <w:rsid w:val="3D59496B"/>
    <w:rsid w:val="44493283"/>
    <w:rsid w:val="46A8045B"/>
    <w:rsid w:val="4BA80777"/>
    <w:rsid w:val="4CF2575A"/>
    <w:rsid w:val="4CF4203D"/>
    <w:rsid w:val="4D9803D1"/>
    <w:rsid w:val="536C744A"/>
    <w:rsid w:val="54D96160"/>
    <w:rsid w:val="55BE1500"/>
    <w:rsid w:val="58D568D1"/>
    <w:rsid w:val="5AC91295"/>
    <w:rsid w:val="5B484832"/>
    <w:rsid w:val="5D574B33"/>
    <w:rsid w:val="5ED53B93"/>
    <w:rsid w:val="62E35428"/>
    <w:rsid w:val="721F1952"/>
    <w:rsid w:val="780C732C"/>
    <w:rsid w:val="7D72591D"/>
    <w:rsid w:val="7E2450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</Words>
  <Characters>2395</Characters>
  <Lines>19</Lines>
  <Paragraphs>5</Paragraphs>
  <TotalTime>15</TotalTime>
  <ScaleCrop>false</ScaleCrop>
  <LinksUpToDate>false</LinksUpToDate>
  <CharactersWithSpaces>2810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2015-10-16T01:58:00Z</dcterms:created>
  <dc:creator>DELL</dc:creator>
  <cp:lastModifiedBy>小菲</cp:lastModifiedBy>
  <cp:lastPrinted>2015-10-16T06:18:00Z</cp:lastPrinted>
  <dcterms:modified xsi:type="dcterms:W3CDTF">2019-11-27T02:42:24Z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